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UBO-Identifizierung und Transparenzregister</w:t>
      </w:r>
    </w:p>
    <w:p>
      <w:pPr>
        <w:jc w:val="left"/>
      </w:pPr>
      <w:r>
        <w:t>Bearbeiter: RAin Dr. Johanna Reimers</w:t>
      </w:r>
    </w:p>
    <w:p>
      <w:pPr>
        <w:jc w:val="left"/>
      </w:pPr>
      <w:r>
        <w:t>Datum: 17. April 2026</w:t>
      </w:r>
    </w:p>
    <w:p/>
    <w:p>
      <w:pPr>
        <w:pStyle w:val="Heading2"/>
      </w:pPr>
      <w:r>
        <w:rPr>
          <w:rFonts w:ascii="Times New Roman" w:hAnsi="Times New Roman"/>
        </w:rPr>
        <w:t>Hintergrund: Das Transparenzregister als Pflichtinstrument</w:t>
      </w:r>
    </w:p>
    <w:p>
      <w:pPr>
        <w:jc w:val="left"/>
      </w:pPr>
      <w:r>
        <w:t>Das Transparenzregister (geführt beim Bundesanzeiger Verlag im Auftrag des Bundesministeriums der Finanzen) ist seit dem GwG 2017 die zentrale Datenbank zur Erfassung wirtschaftlich Berechtigter (UBO — Ultimate Beneficial Owner). Mit der GwG-Novelle 2021 (Art. 4 des Gesetzes v. 25.06.2021, BGBl. I S. 2083) wurde das Transparenzregister von einem Auffangregister zu einem Vollregister umgestellt.</w:t>
      </w:r>
    </w:p>
    <w:p>
      <w:pPr>
        <w:jc w:val="left"/>
      </w:pPr>
      <w:r>
        <w:t>Rechtsgrundlage: §§ 18–26 GwG; Durchführungsverordnungen; vgl. auch Erwägungsgrund 30 der AMLD V (2018/843/EU).</w:t>
      </w:r>
    </w:p>
    <w:p/>
    <w:p>
      <w:pPr>
        <w:pStyle w:val="Heading2"/>
      </w:pPr>
      <w:r>
        <w:rPr>
          <w:rFonts w:ascii="Times New Roman" w:hAnsi="Times New Roman"/>
        </w:rPr>
        <w:t>Pflicht zur Transparenzregisterabfrage</w:t>
      </w:r>
    </w:p>
    <w:p>
      <w:pPr>
        <w:jc w:val="left"/>
      </w:pPr>
      <w:r>
        <w:t>§ 11 Abs. 5 Satz 3 GwG (in der ab 01.08.2021 geltenden Fassung) verpflichtet Verpflichtete bei juristischen Personen, den Auszug aus dem Transparenzregister einzuholen und die dort enthaltenen Angaben mit den anderweitig erhobenen Angaben zum wirtschaftlich Berechtigten abzugleichen.</w:t>
      </w:r>
    </w:p>
    <w:p>
      <w:pPr>
        <w:jc w:val="left"/>
      </w:pPr>
      <w:r>
        <w:t>Die Abfrage ist kein Ermessen, sondern Pflicht, soweit der Vertragspartner im Transparenzregister eintragungspflichtig ist oder eine vergleichbare ausländische Datenbank existiert.</w:t>
      </w:r>
    </w:p>
    <w:p>
      <w:pPr>
        <w:pStyle w:val="Heading3"/>
      </w:pPr>
      <w:r>
        <w:rPr>
          <w:rFonts w:ascii="Times New Roman" w:hAnsi="Times New Roman"/>
        </w:rPr>
        <w:t>Sonderfall: ausländische juristische Personen (Bluetail Holdings Ltd., Zypern)</w:t>
      </w:r>
    </w:p>
    <w:p>
      <w:pPr>
        <w:jc w:val="left"/>
      </w:pPr>
      <w:r>
        <w:t>Zypern hat als EU-Mitgliedstaat gemäß Art. 30 AMLD IV i.V.m. AMLD V ein nationales Beneficial-Ownership-Register eingeführt (Department of Registrar of Companies and Intellectual Property, CY). Dieses Register ist seit 2021 zugänglich.</w:t>
      </w:r>
    </w:p>
    <w:p>
      <w:pPr>
        <w:jc w:val="left"/>
      </w:pPr>
      <w:r>
        <w:t>Die Kanzlei Sandhof &amp; Partner hätte somit:</w:t>
      </w:r>
    </w:p>
    <w:p>
      <w:pPr>
        <w:pStyle w:val="ListNumber"/>
      </w:pPr>
      <w:r>
        <w:t>Das deutsche Transparenzregister nach einem eventuellen deutschen Registereintrag abfragen müssen (nicht einschlägig bei reiner CY-Gesellschaft ohne deutschen Niederlassungseintrag),</w:t>
      </w:r>
    </w:p>
    <w:p>
      <w:pPr>
        <w:pStyle w:val="ListNumber"/>
      </w:pPr>
      <w:r>
        <w:t>Das zypriotische Beneficial-Ownership-Register direkt oder über einen lokalen Korrespondenzanwalt abfragen sollen.</w:t>
      </w:r>
    </w:p>
    <w:p>
      <w:pPr>
        <w:jc w:val="left"/>
      </w:pPr>
      <w:r>
        <w:t>Keine dieser Maßnahmen ist dokumentiert.</w:t>
      </w:r>
    </w:p>
    <w:p/>
    <w:p>
      <w:pPr>
        <w:pStyle w:val="Heading2"/>
      </w:pPr>
      <w:r>
        <w:rPr>
          <w:rFonts w:ascii="Times New Roman" w:hAnsi="Times New Roman"/>
        </w:rPr>
        <w:t>Befund: Was das CY-Register hätte ergeben</w:t>
      </w:r>
    </w:p>
    <w:p>
      <w:pPr>
        <w:jc w:val="left"/>
      </w:pPr>
      <w:r>
        <w:t>Aus den Akten der StA Kiel (Anlage zur Strafanzeige) ergibt sich, dass der zypriotische Beneficial-Ownership-Eintrag zu Bluetail Holdings Ltd. zum Zeitpunkt der ersten Transaktion (Juni 2024) wie folgt lautete:</w:t>
      </w:r>
    </w:p>
    <w:p>
      <w:pPr>
        <w:ind w:left="567"/>
      </w:pPr>
      <w:r>
        <w:rPr>
          <w:i/>
        </w:rPr>
        <w:t>UBO: Vitali Petrowitsch Smolenski, geb. 04.11.1969, Russische Förderation</w:t>
      </w:r>
    </w:p>
    <w:p>
      <w:pPr>
        <w:ind w:left="567"/>
      </w:pPr>
      <w:r>
        <w:rPr>
          <w:i/>
        </w:rPr>
        <w:t>Anteil: 100 % (indirekt über Ariadne Nominees Ltd.)</w:t>
      </w:r>
    </w:p>
    <w:p>
      <w:pPr>
        <w:ind w:left="567"/>
      </w:pPr>
      <w:r>
        <w:rPr>
          <w:i/>
        </w:rPr>
        <w:t>Eintragsdatum CY-Register: 18. März 2022</w:t>
      </w:r>
    </w:p>
    <w:p>
      <w:pPr>
        <w:jc w:val="left"/>
      </w:pPr>
      <w:r>
        <w:t>Der Eintrag war also zum Zeitpunkt aller vier Transaktionen vorhanden und hätte bei einer Abfrage zu Tage getreten. Dies ist ein zentraler Befund der Staatsanwaltschaft Kiel zur Begründung des (zumindest bedingten) Vorsatzes nach § 261 StGB.</w:t>
      </w:r>
    </w:p>
    <w:p>
      <w:pPr>
        <w:jc w:val="left"/>
      </w:pPr>
      <w:r>
        <w:t>Verteidigungsargument: Ein zypriotisches Partnerregister ist für deutsche Rechtsanwälte ohne spezifische Kenntnisse der CY-Registerstruktur nicht ohne Weiteres zugänglich. Eine gefestigte Pflicht zur Abfrage ausländischer Register unter Hinzuziehung von Korrespondenzanwälten erscheint in der anwaltlichen Praxis für jede Transaktion unverhältnismäßig. Diese Frage ist rechtlich offen und wird in der Literatur diskutiert (vgl. Zentes/Glaab, GwG, 2. Aufl. 2022, § 11 Rn. 42 ff.).</w:t>
      </w:r>
    </w:p>
    <w:p/>
    <w:p>
      <w:pPr>
        <w:pStyle w:val="Heading2"/>
      </w:pPr>
      <w:r>
        <w:rPr>
          <w:rFonts w:ascii="Times New Roman" w:hAnsi="Times New Roman"/>
        </w:rPr>
        <w:t>Transparenzregister Deutschland: Eintragung Bluetail?</w:t>
      </w:r>
    </w:p>
    <w:p>
      <w:pPr>
        <w:jc w:val="left"/>
      </w:pPr>
      <w:r>
        <w:t>Eine ergänzende Recherche ergibt: Bluetail Holdings Ltd. ist im deutschen Transparenzregister nicht eingetragen, da die Gesellschaft keine inländische Niederlassung oder Zweigniederlassung im deutschen Handelsregister aufweist. Die §§ 20 ff. GwG treffen primär inländische juristische Personen.</w:t>
      </w:r>
    </w:p>
    <w:p>
      <w:pPr>
        <w:jc w:val="left"/>
      </w:pPr>
      <w:r>
        <w:t>Für den deutschen Verpflichteten ergab sich deshalb (entgegen der BaFin-Auffassung in der Anhörung) keine unmittelbare Möglichkeit, über das deutsche Transparenzregister den UBO zu ermitteln. Dies schwächt die behördliche Argumentation der „scheinbar einfachen Erkennbarkeit."</w:t>
      </w:r>
    </w:p>
    <w:p/>
    <w:p>
      <w:pPr>
        <w:pStyle w:val="Heading2"/>
      </w:pPr>
      <w:r>
        <w:rPr>
          <w:rFonts w:ascii="Times New Roman" w:hAnsi="Times New Roman"/>
        </w:rPr>
        <w:t>Zwischenergebnis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Maßnahme</w:t>
            </w:r>
          </w:p>
        </w:tc>
        <w:tc>
          <w:tcPr>
            <w:tcW w:type="dxa" w:w="2268"/>
          </w:tcPr>
          <w:p>
            <w:r>
              <w:rPr>
                <w:rFonts w:ascii="Times New Roman" w:hAnsi="Times New Roman"/>
                <w:b/>
                <w:sz w:val="20"/>
              </w:rPr>
              <w:t>Rechtspflicht</w:t>
            </w:r>
          </w:p>
        </w:tc>
        <w:tc>
          <w:tcPr>
            <w:tcW w:type="dxa" w:w="2268"/>
          </w:tcPr>
          <w:p>
            <w:r>
              <w:rPr>
                <w:rFonts w:ascii="Times New Roman" w:hAnsi="Times New Roman"/>
                <w:b/>
                <w:sz w:val="20"/>
              </w:rPr>
              <w:t>Erfüllt</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Abfrage deutsches Transparenzregister</w:t>
            </w:r>
          </w:p>
        </w:tc>
        <w:tc>
          <w:tcPr>
            <w:tcW w:type="dxa" w:w="2268"/>
          </w:tcPr>
          <w:p>
            <w:r>
              <w:rPr>
                <w:rFonts w:ascii="Times New Roman" w:hAnsi="Times New Roman"/>
                <w:sz w:val="20"/>
              </w:rPr>
              <w:t>Ja (§ 11 Abs. 5 GwG)</w:t>
            </w:r>
          </w:p>
        </w:tc>
        <w:tc>
          <w:tcPr>
            <w:tcW w:type="dxa" w:w="2268"/>
          </w:tcPr>
          <w:p>
            <w:r>
              <w:rPr>
                <w:rFonts w:ascii="Times New Roman" w:hAnsi="Times New Roman"/>
                <w:sz w:val="20"/>
              </w:rPr>
              <w:t>Nein — aber mangels CY-Eintrag leergelaufen</w:t>
            </w:r>
          </w:p>
        </w:tc>
        <w:tc>
          <w:tcPr>
            <w:tcW w:type="dxa" w:w="2268"/>
          </w:tcPr>
          <w:p>
            <w:r>
              <w:rPr>
                <w:rFonts w:ascii="Times New Roman" w:hAnsi="Times New Roman"/>
                <w:sz w:val="20"/>
              </w:rPr>
              <w:t>Formal nicht erfüllt; Ergebnis hätte keine Eintragung gezeigt</w:t>
            </w:r>
          </w:p>
        </w:tc>
      </w:tr>
      <w:tr>
        <w:tc>
          <w:tcPr>
            <w:tcW w:type="dxa" w:w="2268"/>
          </w:tcPr>
          <w:p>
            <w:r>
              <w:rPr>
                <w:rFonts w:ascii="Times New Roman" w:hAnsi="Times New Roman"/>
                <w:sz w:val="20"/>
              </w:rPr>
              <w:t>Abfrage CY-Beneficial-Ownership-Register</w:t>
            </w:r>
          </w:p>
        </w:tc>
        <w:tc>
          <w:tcPr>
            <w:tcW w:type="dxa" w:w="2268"/>
          </w:tcPr>
          <w:p>
            <w:r>
              <w:rPr>
                <w:rFonts w:ascii="Times New Roman" w:hAnsi="Times New Roman"/>
                <w:sz w:val="20"/>
              </w:rPr>
              <w:t>Nach § 11 Abs. 5 i.V.m. AMLD V</w:t>
            </w:r>
          </w:p>
        </w:tc>
        <w:tc>
          <w:tcPr>
            <w:tcW w:type="dxa" w:w="2268"/>
          </w:tcPr>
          <w:p>
            <w:r>
              <w:rPr>
                <w:rFonts w:ascii="Times New Roman" w:hAnsi="Times New Roman"/>
                <w:sz w:val="20"/>
              </w:rPr>
              <w:t>Nein</w:t>
            </w:r>
          </w:p>
        </w:tc>
        <w:tc>
          <w:tcPr>
            <w:tcW w:type="dxa" w:w="2268"/>
          </w:tcPr>
          <w:p>
            <w:r>
              <w:rPr>
                <w:rFonts w:ascii="Times New Roman" w:hAnsi="Times New Roman"/>
                <w:sz w:val="20"/>
              </w:rPr>
              <w:t>Problematisch; aber Auslegungsfrage zur Reichweite</w:t>
            </w:r>
          </w:p>
        </w:tc>
      </w:tr>
      <w:tr>
        <w:tc>
          <w:tcPr>
            <w:tcW w:type="dxa" w:w="2268"/>
          </w:tcPr>
          <w:p>
            <w:r>
              <w:rPr>
                <w:rFonts w:ascii="Times New Roman" w:hAnsi="Times New Roman"/>
                <w:sz w:val="20"/>
              </w:rPr>
              <w:t>Abgleich mit anderen Quellen (ICIJ, Presse)</w:t>
            </w:r>
          </w:p>
        </w:tc>
        <w:tc>
          <w:tcPr>
            <w:tcW w:type="dxa" w:w="2268"/>
          </w:tcPr>
          <w:p>
            <w:r>
              <w:rPr>
                <w:rFonts w:ascii="Times New Roman" w:hAnsi="Times New Roman"/>
                <w:sz w:val="20"/>
              </w:rPr>
              <w:t>Keine spezifische Norm; Teil der Sorgfaltspflicht</w:t>
            </w:r>
          </w:p>
        </w:tc>
        <w:tc>
          <w:tcPr>
            <w:tcW w:type="dxa" w:w="2268"/>
          </w:tcPr>
          <w:p>
            <w:r>
              <w:rPr>
                <w:rFonts w:ascii="Times New Roman" w:hAnsi="Times New Roman"/>
                <w:sz w:val="20"/>
              </w:rPr>
              <w:t>Nein</w:t>
            </w:r>
          </w:p>
        </w:tc>
        <w:tc>
          <w:tcPr>
            <w:tcW w:type="dxa" w:w="2268"/>
          </w:tcPr>
          <w:p>
            <w:r>
              <w:rPr>
                <w:rFonts w:ascii="Times New Roman" w:hAnsi="Times New Roman"/>
                <w:sz w:val="20"/>
              </w:rPr>
              <w:t>Im Rahmen der allgemeinen Sorgfalt empfehlenswert</w:t>
            </w:r>
          </w:p>
        </w:tc>
      </w:tr>
      <w:tr>
        <w:tc>
          <w:tcPr>
            <w:tcW w:type="dxa" w:w="2268"/>
          </w:tcPr>
          <w:p>
            <w:r>
              <w:rPr>
                <w:rFonts w:ascii="Times New Roman" w:hAnsi="Times New Roman"/>
                <w:sz w:val="20"/>
              </w:rPr>
              <w:t>Risikobasierter Ansatz</w:t>
            </w:r>
          </w:p>
        </w:tc>
        <w:tc>
          <w:tcPr>
            <w:tcW w:type="dxa" w:w="2268"/>
          </w:tcPr>
          <w:p>
            <w:r>
              <w:rPr>
                <w:rFonts w:ascii="Times New Roman" w:hAnsi="Times New Roman"/>
                <w:sz w:val="20"/>
              </w:rPr>
              <w:t>§ 10 Abs. 2 GwG</w:t>
            </w:r>
          </w:p>
        </w:tc>
        <w:tc>
          <w:tcPr>
            <w:tcW w:type="dxa" w:w="2268"/>
          </w:tcPr>
          <w:p>
            <w:r>
              <w:rPr>
                <w:rFonts w:ascii="Times New Roman" w:hAnsi="Times New Roman"/>
                <w:sz w:val="20"/>
              </w:rPr>
              <w:t>Nicht dokumentiert</w:t>
            </w:r>
          </w:p>
        </w:tc>
        <w:tc>
          <w:tcPr>
            <w:tcW w:type="dxa" w:w="2268"/>
          </w:tcPr>
          <w:p>
            <w:r>
              <w:rPr>
                <w:rFonts w:ascii="Times New Roman" w:hAnsi="Times New Roman"/>
                <w:sz w:val="20"/>
              </w:rPr>
              <w:t>Objektiv unzureichend</w:t>
            </w:r>
          </w:p>
        </w:tc>
      </w:tr>
    </w:tbl>
    <w:p/>
    <w:p>
      <w:pPr>
        <w:pStyle w:val="Heading2"/>
      </w:pPr>
      <w:r>
        <w:rPr>
          <w:rFonts w:ascii="Times New Roman" w:hAnsi="Times New Roman"/>
        </w:rPr>
        <w:t>Verteidigungsstrategie</w:t>
      </w:r>
    </w:p>
    <w:p>
      <w:pPr>
        <w:jc w:val="left"/>
      </w:pPr>
      <w:r>
        <w:t>Der Verteidigung kommt es darauf an, die Reichweite der § 11 Abs. 5 GwG-Pflicht bei ausländischen Gesellschaften zu problematisieren. Eine rechtlich gesicherte Pflicht zur Abfrage aller europäischen Beneficial-Ownership-Register für jede Transaktion besteht nach dem Wortlaut des GwG nicht.</w:t>
      </w:r>
    </w:p>
    <w:p>
      <w:pPr>
        <w:jc w:val="left"/>
      </w:pPr>
      <w:r>
        <w:t>Gleichwohl sind die Lücken im KYC-Prozess gravierend. Eine schlüssige Compliance-Strategie für die Zukunft muss in der Stellungnahme an die BaFin und in der Strafverteidigung dargestellt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