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Sanktionscheck EU 2024/881 — Smolenski</w:t>
      </w:r>
    </w:p>
    <w:p>
      <w:pPr>
        <w:jc w:val="left"/>
      </w:pPr>
      <w:r>
        <w:t>Bearbeiter: RAin Dr. Johanna Reimers</w:t>
      </w:r>
    </w:p>
    <w:p>
      <w:pPr>
        <w:jc w:val="left"/>
      </w:pPr>
      <w:r>
        <w:t>Datum: 18. April 2026</w:t>
      </w:r>
    </w:p>
    <w:p/>
    <w:p>
      <w:pPr>
        <w:pStyle w:val="Heading2"/>
      </w:pPr>
      <w:r>
        <w:rPr>
          <w:rFonts w:ascii="Times New Roman" w:hAnsi="Times New Roman"/>
        </w:rPr>
        <w:t>Die EU-Sanktion gegen Vitali Petrowitsch Smolenski</w:t>
      </w:r>
    </w:p>
    <w:p>
      <w:pPr>
        <w:pStyle w:val="Heading3"/>
      </w:pPr>
      <w:r>
        <w:rPr>
          <w:rFonts w:ascii="Times New Roman" w:hAnsi="Times New Roman"/>
        </w:rPr>
        <w:t>Rechtsgrundlage und Fundstelle</w:t>
      </w:r>
    </w:p>
    <w:p>
      <w:pPr>
        <w:jc w:val="left"/>
      </w:pPr>
      <w:r>
        <w:t>Verordnung (EU) 2024/881 des Rates vom 16. Mai 2024 zur Änderung der Verordnung (EU) Nr. 833/2014 über restriktive Maßnahmen angesichts der Handlungen Russlands, die die Lage in der Ukraine destabilisieren.</w:t>
      </w:r>
    </w:p>
    <w:p>
      <w:pPr>
        <w:jc w:val="left"/>
      </w:pPr>
      <w:r>
        <w:t>Volltext: EUR-Lex, https://eur-lex.europa.eu/legal-content/DE/TXT/?uri=CELEX%3A32024R0881</w:t>
      </w:r>
    </w:p>
    <w:p>
      <w:pPr>
        <w:jc w:val="left"/>
      </w:pPr>
      <w:r>
        <w:t>Vitali Petrowitsch Smolenski wurde mit Inkrafttreten dieser Verordnung am 16. Mai 2024 in die konsolidierte Liste der Personen, Organisationen und Einrichtungen aufgenommen, gegen die EU-Sanktionen gelten (Anhang I der Verordnung Nr. 833/2014, ergänzt durch VO (EU) 2024/881).</w:t>
      </w:r>
    </w:p>
    <w:p>
      <w:pPr>
        <w:jc w:val="left"/>
      </w:pPr>
      <w:r>
        <w:t>Listungsgrund (Zusammenfassung): Smolenski ist Mehrheitseigentümer und tatsächlicher Leiter des Rohstoffkonglomerats „Strelka Resources Group" mit Sitz in Moskau. Die Gruppe liefert gemäß EU-Feststellung Rohmaterialien an die russische Rüstungsindustrie und unterstützt damit mittelbar die militärischen Operationen der Russischen Förderation in der Ukraine. Smolenski gilt als Person, die materiell von der russischen Regierung unterstützt wird, und als Person, die Handlungen oder Politiken der russischen Regierung, die die territoriale Unversehrtheit, Souveränität und Unabhängigkeit der Ukraine untergraben oder bedrohen, materiell unterstützt.</w:t>
      </w:r>
    </w:p>
    <w:p/>
    <w:p>
      <w:pPr>
        <w:pStyle w:val="Heading2"/>
      </w:pPr>
      <w:r>
        <w:rPr>
          <w:rFonts w:ascii="Times New Roman" w:hAnsi="Times New Roman"/>
        </w:rPr>
        <w:t>Zeitliche Einordnung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14. Juni 2024</w:t>
            </w:r>
          </w:p>
        </w:tc>
        <w:tc>
          <w:tcPr>
            <w:tcW w:type="dxa" w:w="4536"/>
          </w:tcPr>
          <w:p>
            <w:r>
              <w:rPr>
                <w:rFonts w:ascii="Times New Roman" w:hAnsi="Times New Roman"/>
                <w:sz w:val="20"/>
              </w:rPr>
              <w:t>Erste Amrum-Transaktion (Norddorf, Vogelkoje 3)</w:t>
            </w:r>
          </w:p>
        </w:tc>
      </w:tr>
      <w:tr>
        <w:tc>
          <w:tcPr>
            <w:tcW w:type="dxa" w:w="4536"/>
          </w:tcPr>
          <w:p>
            <w:r>
              <w:rPr>
                <w:rFonts w:ascii="Times New Roman" w:hAnsi="Times New Roman"/>
                <w:sz w:val="20"/>
              </w:rPr>
              <w:t>16. Mai 2024</w:t>
            </w:r>
          </w:p>
        </w:tc>
        <w:tc>
          <w:tcPr>
            <w:tcW w:type="dxa" w:w="4536"/>
          </w:tcPr>
          <w:p>
            <w:r>
              <w:rPr>
                <w:rFonts w:ascii="Times New Roman" w:hAnsi="Times New Roman"/>
                <w:sz w:val="20"/>
              </w:rPr>
              <w:t>Inkrafttreten VO (EU) 2024/881 — Smolenski gelistet</w:t>
            </w:r>
          </w:p>
        </w:tc>
      </w:tr>
      <w:tr>
        <w:tc>
          <w:tcPr>
            <w:tcW w:type="dxa" w:w="4536"/>
          </w:tcPr>
          <w:p>
            <w:r>
              <w:rPr>
                <w:rFonts w:ascii="Times New Roman" w:hAnsi="Times New Roman"/>
                <w:sz w:val="20"/>
              </w:rPr>
              <w:t>02. September 2024</w:t>
            </w:r>
          </w:p>
        </w:tc>
        <w:tc>
          <w:tcPr>
            <w:tcW w:type="dxa" w:w="4536"/>
          </w:tcPr>
          <w:p>
            <w:r>
              <w:rPr>
                <w:rFonts w:ascii="Times New Roman" w:hAnsi="Times New Roman"/>
                <w:sz w:val="20"/>
              </w:rPr>
              <w:t>Zweite Transaktion (Nebel, Dünenweg 11)</w:t>
            </w:r>
          </w:p>
        </w:tc>
      </w:tr>
      <w:tr>
        <w:tc>
          <w:tcPr>
            <w:tcW w:type="dxa" w:w="4536"/>
          </w:tcPr>
          <w:p>
            <w:r>
              <w:rPr>
                <w:rFonts w:ascii="Times New Roman" w:hAnsi="Times New Roman"/>
                <w:sz w:val="20"/>
              </w:rPr>
              <w:t>18. November 2024</w:t>
            </w:r>
          </w:p>
        </w:tc>
        <w:tc>
          <w:tcPr>
            <w:tcW w:type="dxa" w:w="4536"/>
          </w:tcPr>
          <w:p>
            <w:r>
              <w:rPr>
                <w:rFonts w:ascii="Times New Roman" w:hAnsi="Times New Roman"/>
                <w:sz w:val="20"/>
              </w:rPr>
              <w:t>Dritte Transaktion (Wittdün, Strandpromenade 7a)</w:t>
            </w:r>
          </w:p>
        </w:tc>
      </w:tr>
      <w:tr>
        <w:tc>
          <w:tcPr>
            <w:tcW w:type="dxa" w:w="4536"/>
          </w:tcPr>
          <w:p>
            <w:r>
              <w:rPr>
                <w:rFonts w:ascii="Times New Roman" w:hAnsi="Times New Roman"/>
                <w:sz w:val="20"/>
              </w:rPr>
              <w:t>07. Februar 2025</w:t>
            </w:r>
          </w:p>
        </w:tc>
        <w:tc>
          <w:tcPr>
            <w:tcW w:type="dxa" w:w="4536"/>
          </w:tcPr>
          <w:p>
            <w:r>
              <w:rPr>
                <w:rFonts w:ascii="Times New Roman" w:hAnsi="Times New Roman"/>
                <w:sz w:val="20"/>
              </w:rPr>
              <w:t>Vierte Transaktion (Norddorf, Heideweg 22)</w:t>
            </w:r>
          </w:p>
        </w:tc>
      </w:tr>
    </w:tbl>
    <w:p>
      <w:pPr>
        <w:jc w:val="left"/>
      </w:pPr>
      <w:r>
        <w:t>Damit sind alle vier Transaktionen nach der Sanktionierung Smolenski durchgeführt worden. Die erste Transaktion fand 29 Tage nach Inkrafttreten der VO (EU) 2024/881 statt.</w:t>
      </w:r>
    </w:p>
    <w:p/>
    <w:p>
      <w:pPr>
        <w:pStyle w:val="Heading2"/>
      </w:pPr>
      <w:r>
        <w:rPr>
          <w:rFonts w:ascii="Times New Roman" w:hAnsi="Times New Roman"/>
        </w:rPr>
        <w:t>Pflicht zum Sanktionsscreening</w:t>
      </w:r>
    </w:p>
    <w:p>
      <w:pPr>
        <w:pStyle w:val="Heading3"/>
      </w:pPr>
      <w:r>
        <w:rPr>
          <w:rFonts w:ascii="Times New Roman" w:hAnsi="Times New Roman"/>
        </w:rPr>
        <w:t>Rechtsrahmen</w:t>
      </w:r>
    </w:p>
    <w:p>
      <w:pPr>
        <w:jc w:val="left"/>
      </w:pPr>
      <w:r>
        <w:t>Das EU-Sanktionsrecht ist unmittelbar geltendes Recht in allen EU-Mitgliedstaaten (Art. 288 Abs. 2 AEUV). Die Einhaltung der Verbotsvorschriften — insbesondere das Bereitstellungsverbot (Art. 2 VO Nr. 833/2014) — ist keine Option, sondern Pflicht.</w:t>
      </w:r>
    </w:p>
    <w:p>
      <w:pPr>
        <w:jc w:val="left"/>
      </w:pPr>
      <w:r>
        <w:t>Nach § 10 Abs. 1 Nr. 4 GwG (i.V.m. der Definition des politisch exponierten Personenkreises und der Sanktionslisten) sind Verpflichtete gehalten, vor Begründung einer Geschäftsbeziehung und bei Transaktionen zu prüfen, ob der Vertragspartner oder der wirtschaftlich Berechtigte auf einer Sanktionsliste steht.</w:t>
      </w:r>
    </w:p>
    <w:p>
      <w:pPr>
        <w:jc w:val="left"/>
      </w:pPr>
      <w:r>
        <w:t>Das SanktDG (Sanktionsdurchsetzungsgesetz) regelt nicht das Screening, sondern die Durchsetzung im Zusammenhang mit Immobilien (§§ 1 ff. SanktDG).</w:t>
      </w:r>
    </w:p>
    <w:p>
      <w:pPr>
        <w:pStyle w:val="Heading3"/>
      </w:pPr>
      <w:r>
        <w:rPr>
          <w:rFonts w:ascii="Times New Roman" w:hAnsi="Times New Roman"/>
        </w:rPr>
        <w:t>Konsolidierte Sanktionsliste</w:t>
      </w:r>
    </w:p>
    <w:p>
      <w:pPr>
        <w:jc w:val="left"/>
      </w:pPr>
      <w:r>
        <w:t>Die EU-Kommission führt unter https://eeas.europa.eu/topics/sanctions-policy/8442/consolidated-list-sanctions_en die konsolidierte Sanktionsliste. Diese ist kostenlos abfragbar und wird täglich aktualisiert. Smolenski ist seit 16.05.2024 dort gelistet (geprüft: 22.04.2026).</w:t>
      </w:r>
    </w:p>
    <w:p/>
    <w:p>
      <w:pPr>
        <w:pStyle w:val="Heading2"/>
      </w:pPr>
      <w:r>
        <w:rPr>
          <w:rFonts w:ascii="Times New Roman" w:hAnsi="Times New Roman"/>
        </w:rPr>
        <w:t>Befund bei der Kanzlei Sandhof &amp; Partner</w:t>
      </w:r>
    </w:p>
    <w:p>
      <w:pPr>
        <w:jc w:val="left"/>
      </w:pPr>
      <w:r>
        <w:t>Aus der Aktenanalyse ergibt sich: Die Kanzlei hat kein Sanktionsscreening durchgeführt. Es existiert kein internes Screening-Tool, kein Abonnement eines kommerziellen Sanktionsprüfdienstes (z.B. LexisNexis World Compliance, Refinitiv World-Check). Es gibt keine Dokumentation, dass die konsolidierte EU-Sanktionsliste vor Beginn einer der vier Transaktionen abgefragt wurde.</w:t>
      </w:r>
    </w:p>
    <w:p>
      <w:pPr>
        <w:jc w:val="left"/>
      </w:pPr>
      <w:r>
        <w:t>Besonders belastend: Papadimitriou hat in der Beurkundungsvollmacht der ersten Transaktion explizit darauf hingewiesen, dass Bluetail Holdings Ltd. letztlich einem „russischen Eigentümer" gehöre, ohne diesen namentlich zu nennen. RAin Westricher hat diese Angabe notiert, aber keine weiteren Maßnahmen eingeleitet.</w:t>
      </w:r>
    </w:p>
    <w:p/>
    <w:p>
      <w:pPr>
        <w:pStyle w:val="Heading2"/>
      </w:pPr>
      <w:r>
        <w:rPr>
          <w:rFonts w:ascii="Times New Roman" w:hAnsi="Times New Roman"/>
        </w:rPr>
        <w:t>Strafrechtliche Relevanz</w:t>
      </w:r>
    </w:p>
    <w:p>
      <w:pPr>
        <w:jc w:val="left"/>
      </w:pPr>
      <w:r>
        <w:t>Nach § 18 Abs. 1 lit. b VO (EU) Nr. 833/2014 i.V.m. § 17 AWG (Außenwirtschaftsgesetz) ist das wissentliche Zurverfügungstellen von Wirtschaftsgütern an sanktionierte Personen strafbewehrt. Durch die anwaltliche Dienstleistung zugunsten von Bluetail Holdings Ltd. — und mittelbar zugunsten des wirtschaftlich Berechtigten Smolenski — kann die Strafbarkeit nach § 17 AWG in Betracht kommen. Die StA Kiel prüft diese Norm parallel zu § 261 StGB.</w:t>
      </w:r>
    </w:p>
    <w:p>
      <w:pPr>
        <w:jc w:val="left"/>
      </w:pPr>
      <w:r>
        <w:t>Daneben steht § 23 SanktDG (in der Fassung vom 28.03.2022), der Verstöße gegen die Meldepflicht nach § 4 SanktDG mit Bußgeld bedroht. Die Kanzlei hat keine Meldung nach § 4 SanktDG erstattet.</w:t>
      </w:r>
    </w:p>
    <w:p/>
    <w:p>
      <w:pPr>
        <w:pStyle w:val="Heading2"/>
      </w:pPr>
      <w:r>
        <w:rPr>
          <w:rFonts w:ascii="Times New Roman" w:hAnsi="Times New Roman"/>
        </w:rPr>
        <w:t>Verteidigungsansatz</w:t>
      </w:r>
    </w:p>
    <w:p>
      <w:pPr>
        <w:jc w:val="left"/>
      </w:pPr>
      <w:r>
        <w:t>Für den Vorsatz nach § 261 StGB (und § 17 AWG) ist entscheidend, ob Sandhof oder die handelnden Sachbearbeiter Kenntnis von der Identität Smolenski und seiner Listung hatten. Sandhof bestreitet dies kategorisch. Er räumt ein, dass die internen Prozesse lückenhaft waren, bestreitet aber Kenntnis von Smolenski als Hintermann.</w:t>
      </w:r>
    </w:p>
    <w:p>
      <w:pPr>
        <w:jc w:val="left"/>
      </w:pPr>
      <w:r>
        <w:t>Der strafrechtliche Knackpunkt: Ein Sanktionsscreening hätte — bei ordnungsgemäßer Durchführung des KYC — Smolenski als wirtschaftlich Berechtigten offenbart. Die Nichtdurchführung des Screenings begründet die Frage, ob dolus eventualis (bewusstes Inkaufnehmen) vorliegt. Das ist der Kern der staatsanwaltschaftlichen Theorie.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