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FIU-Meldepflicht § 43 GwG — Unterlassung</w:t>
      </w:r>
    </w:p>
    <w:p>
      <w:pPr>
        <w:jc w:val="left"/>
      </w:pPr>
      <w:r>
        <w:t>Bearbeiter: RA Dr. Henning Quasdorf</w:t>
      </w:r>
    </w:p>
    <w:p>
      <w:pPr>
        <w:jc w:val="left"/>
      </w:pPr>
      <w:r>
        <w:t>Datum: 18. April 2026</w:t>
      </w:r>
    </w:p>
    <w:p/>
    <w:p>
      <w:pPr>
        <w:pStyle w:val="Heading2"/>
      </w:pPr>
      <w:r>
        <w:rPr>
          <w:rFonts w:ascii="Times New Roman" w:hAnsi="Times New Roman"/>
        </w:rPr>
        <w:t>Die FIU und ihre Rolle</w:t>
      </w:r>
    </w:p>
    <w:p>
      <w:pPr>
        <w:jc w:val="left"/>
      </w:pPr>
      <w:r>
        <w:t>Die Financial Intelligence Unit (FIU) Deutschland ist die nationale Zentralstelle für Geldwäscheverdachtsmeldungen. Sie ist als Organisationseinheit der Generalzolldirektion beim Zollkriminalamt Köln angesiedelt (§ 27 GwG). Alle Verpflichteten nach § 2 GwG sind bei Vorliegen von Anhaltspunkten für Geldwäsche oder Terrorismusfinanzierung zur unverzüglichen Meldung an die FIU verpflichtet (§ 43 Abs. 1 GwG). Die FIU ist erreichbar unter https://www.fiu.bund.de; Meldungen erfolgen über das elektronische Portal „goAML" (§ 45 GwG).</w:t>
      </w:r>
    </w:p>
    <w:p/>
    <w:p>
      <w:pPr>
        <w:pStyle w:val="Heading2"/>
      </w:pPr>
      <w:r>
        <w:rPr>
          <w:rFonts w:ascii="Times New Roman" w:hAnsi="Times New Roman"/>
        </w:rPr>
        <w:t>§ 43 GwG — Meldepflicht</w:t>
      </w:r>
    </w:p>
    <w:p>
      <w:pPr>
        <w:jc w:val="left"/>
      </w:pPr>
      <w:r>
        <w:t>§ 43 Abs. 1 GwG lautet (Auszug):</w:t>
      </w:r>
    </w:p>
    <w:p>
      <w:pPr>
        <w:jc w:val="left"/>
      </w:pPr>
      <w:r>
        <w:t>„Verpflichtete haben Sachverhalte unabhängig von der Höhe des betroffenen Betrages der Zentralstelle für Finanztransaktionsuntersuchungen unverzüglich zu melden, wenn Tatsachen vorliegen, die darauf hindeuten, dass ein Vermögensgegenstand, der mit einer Transaktion oder Geschäftsbeziehung im Zusammenhang steht, aus einer strafbaren Handlung stammt, die eine Vortat der Geldwäsche darstellen könnte, oder dass der Vertragspartner seinen Pflichten nach § 11 Abs. 6 Satz 3 GwG nicht nachgekommen ist."</w:t>
      </w:r>
    </w:p>
    <w:p>
      <w:pPr>
        <w:pStyle w:val="Heading3"/>
      </w:pPr>
      <w:r>
        <w:rPr>
          <w:rFonts w:ascii="Times New Roman" w:hAnsi="Times New Roman"/>
        </w:rPr>
        <w:t>Ausnahme für Rechtsanwälte (§ 43 Abs. 2 GwG)</w:t>
      </w:r>
    </w:p>
    <w:p>
      <w:pPr>
        <w:jc w:val="left"/>
      </w:pPr>
      <w:r>
        <w:t>§ 43 Abs. 2 GwG enthält eine Privilegierung für Rechtsanwälte, Kammerrechtsbeistände, Notare und Steuerberater:</w:t>
      </w:r>
    </w:p>
    <w:p>
      <w:pPr>
        <w:jc w:val="left"/>
      </w:pPr>
      <w:r>
        <w:t>„Verpflichtete im Sinne des § 2 Abs. 1 Nr. 10 und 12 sind nicht zur Abgabe einer Meldung nach Absatz 1 verpflichtet, soweit sich der meldepflichtige Sachverhalt auf Informationen bezieht, die sie von einem Mandanten erhalten haben oder über einen Mandanten erlangt haben, wenn diese Informationen im Rahmen der Rechtsberatung oder der Beratung nach § 3a Nr. 4 StBerG oder der Rechtsvertretung erlangt worden sind."</w:t>
      </w:r>
    </w:p>
    <w:p>
      <w:pPr>
        <w:jc w:val="left"/>
      </w:pPr>
      <w:r>
        <w:t>Diese Ausnahme gilt jedoch ausdrücklich nicht, wenn der Verpflichtete selbst weiß, dass der Mandant die Rechtsberatung für Zwecke der Geldwäsche nutzt (§ 43 Abs. 2 Satz 2 GwG). Außerdem erfasst die Ausnahme nach Auffassung der BaFin nicht rein transaktionale Tätigkeiten (Kaufvertragsbegleitung), da diese keine Rechtsberatung im engeren Sinn seien.</w:t>
      </w:r>
    </w:p>
    <w:p/>
    <w:p>
      <w:pPr>
        <w:pStyle w:val="Heading2"/>
      </w:pPr>
      <w:r>
        <w:rPr>
          <w:rFonts w:ascii="Times New Roman" w:hAnsi="Times New Roman"/>
        </w:rPr>
        <w:t>Befund: Keine FIU-Meldungen durch Sandhof &amp; Partner</w:t>
      </w:r>
    </w:p>
    <w:p>
      <w:pPr>
        <w:jc w:val="left"/>
      </w:pPr>
      <w:r>
        <w:t>Die FIU hat in ihrem Schreiben vom 22. Februar 2026 (in der Akte unter emails/2026-02-22_fiu_an_sandhof_meldepflicht_unterlassung.eml) bestätigt, dass für die Transaktionen betreffend die Grundstücke auf Amrum keine Verdachtsmeldung der Kanzlei Sandhof &amp; Partner vorliegt. Die FIU hat Kenntnis von den Transaktionen durch eine Meldung des beurkundenden Notars (Notariat Petersen &amp; Clasen, Husum) erhalten, die dieser am 18. Februar 2025 nach der vierten Transaktion erstattete.</w:t>
      </w:r>
    </w:p>
    <w:p>
      <w:pPr>
        <w:jc w:val="left"/>
      </w:pPr>
      <w:r>
        <w:t>Der Notar hatte nach eigenen Angaben erst durch die Häufung von vier Transaktionen auf einer kleinen Insel durch dieselbe Offshore-Gesellschaft aufmerksam gemacht und eine nachträgliche Überprüfung eingeleitet. Die Meldung des Notars hat die Ermittlungen ausgelöst.</w:t>
      </w:r>
    </w:p>
    <w:p/>
    <w:p>
      <w:pPr>
        <w:pStyle w:val="Heading2"/>
      </w:pPr>
      <w:r>
        <w:rPr>
          <w:rFonts w:ascii="Times New Roman" w:hAnsi="Times New Roman"/>
        </w:rPr>
        <w:t>Wann wäre eine FIU-Meldepflicht entstanden?</w:t>
      </w:r>
    </w:p>
    <w:p>
      <w:pPr>
        <w:pStyle w:val="Heading3"/>
      </w:pPr>
      <w:r>
        <w:rPr>
          <w:rFonts w:ascii="Times New Roman" w:hAnsi="Times New Roman"/>
        </w:rPr>
        <w:t>Erste Transaktion (14. Juni 2024)</w:t>
      </w:r>
    </w:p>
    <w:p>
      <w:pPr>
        <w:jc w:val="left"/>
      </w:pPr>
      <w:r>
        <w:t>Zu diesem Zeitpunkt war Smolenski bereits gelistet (seit 16.05.2024). Die Kanzlei kannte weder den UBO noch die Sanktionierung. Ob zu diesem Zeitpunkt Anhaltspunkte für Geldwäsche im Sinne von § 43 GwG vorlagen, ist strittig. Die Tatsache, dass der Vertreter Papadimitriou auf einen „russischen Eigentümer" hingewiesen hat, wird von der BaFin als ausreichender Anhaltspunkt gewertet.</w:t>
      </w:r>
    </w:p>
    <w:p>
      <w:pPr>
        <w:pStyle w:val="Heading3"/>
      </w:pPr>
      <w:r>
        <w:rPr>
          <w:rFonts w:ascii="Times New Roman" w:hAnsi="Times New Roman"/>
        </w:rPr>
        <w:t>Zweite bis vierte Transaktion</w:t>
      </w:r>
    </w:p>
    <w:p>
      <w:pPr>
        <w:jc w:val="left"/>
      </w:pPr>
      <w:r>
        <w:t>Ab der zweiten Transaktion (September 2024) hätte das Muster — vier Käufe durch dieselbe Offshore-Gesellschaft in kurzer Zeit — eine erhöhte Prüfungspflicht ausgelöst. § 10 Abs. 1 Nr. 5 GwG verpflichtet zur kontinuierlichen Überwachung der Geschäftsbeziehung. Das regelmäßige Monitoring hätte die Häufung der Transaktionen als Muster erkennbar machen müssen.</w:t>
      </w:r>
    </w:p>
    <w:p/>
    <w:p>
      <w:pPr>
        <w:pStyle w:val="Heading2"/>
      </w:pPr>
      <w:r>
        <w:rPr>
          <w:rFonts w:ascii="Times New Roman" w:hAnsi="Times New Roman"/>
        </w:rPr>
        <w:t>Rechtsfolgen der Unterlassung</w:t>
      </w:r>
    </w:p>
    <w:p>
      <w:pPr>
        <w:pStyle w:val="Heading3"/>
      </w:pPr>
      <w:r>
        <w:rPr>
          <w:rFonts w:ascii="Times New Roman" w:hAnsi="Times New Roman"/>
        </w:rPr>
        <w:t>Bußgeld (§ 56 Abs. 1 Nr. 15 GwG)</w:t>
      </w:r>
    </w:p>
    <w:p>
      <w:pPr>
        <w:jc w:val="left"/>
      </w:pPr>
      <w:r>
        <w:t>Das unterlassene Erstatten einer Verdachtsmeldung ist Bußgeldtatbestand nach § 56 Abs. 1 Nr. 15 GwG. Das Bußgeld kann bis zu 100.000 EUR pro Einzelfall betragen oder bis zu 1 Mio. EUR in schwerwiegenden Fällen oder — bei Kreditinstituten oder größeren Unternehmen — bis zu 5 Mio. EUR oder 10 % des Jahresumsatzes. Bei Rechtsanwaltskanzleien gilt die 1-Mio.-EUR-Grenze.</w:t>
      </w:r>
    </w:p>
    <w:p>
      <w:pPr>
        <w:pStyle w:val="Heading3"/>
      </w:pPr>
      <w:r>
        <w:rPr>
          <w:rFonts w:ascii="Times New Roman" w:hAnsi="Times New Roman"/>
        </w:rPr>
        <w:t>Strafrechtlicher Zusammenhang</w:t>
      </w:r>
    </w:p>
    <w:p>
      <w:pPr>
        <w:jc w:val="left"/>
      </w:pPr>
      <w:r>
        <w:t>Die unterlassene FIU-Meldung ist kein eigenständiger Straftatbestand. Sie kann aber als Indiz für den Vorsatz im Rahmen von § 261 StGB gewertet werden: Wer das Muster kennt und keine Meldung erstattet, könnte die Geldwäsche bewusst dulden.</w:t>
      </w:r>
    </w:p>
    <w:p/>
    <w:p>
      <w:pPr>
        <w:pStyle w:val="Heading2"/>
      </w:pPr>
      <w:r>
        <w:rPr>
          <w:rFonts w:ascii="Times New Roman" w:hAnsi="Times New Roman"/>
        </w:rPr>
        <w:t>Verteidigungsansatz: Legal Privilege und § 43 Abs. 2 GwG</w:t>
      </w:r>
    </w:p>
    <w:p>
      <w:pPr>
        <w:jc w:val="left"/>
      </w:pPr>
      <w:r>
        <w:t>Die Verteidigung wird argumentieren, dass die Kanzlei die Ausnahme des § 43 Abs. 2 GwG heranziehen darf: Die Tätigkeit habe sich auf die rechtliche Begleitung der Kaufverträge beschränkt. Informationen, die dabei entstanden sind, seien durch die anwaltliche Verschwiegenheit geschützt und nicht meldepflichtig.</w:t>
      </w:r>
    </w:p>
    <w:p>
      <w:pPr>
        <w:jc w:val="left"/>
      </w:pPr>
      <w:r>
        <w:t>Schwäche dieses Arguments: Die BaFin hat in mehreren Verlautbarungen klargestellt, dass die reine Kaufvertragsbegleitung ohne Rechtsberatungskomponente nicht unter § 43 Abs. 2 GwG fällt. Hier besteht keine gefestigte Rechtsprechung.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