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AML-Officer und Geldwäschebeauftragter nach § 7 GwG</w:t>
      </w:r>
    </w:p>
    <w:p>
      <w:pPr>
        <w:jc w:val="left"/>
      </w:pPr>
      <w:r>
        <w:t>Bearbeiter: RA Dr. Henning Quasdorf</w:t>
      </w:r>
    </w:p>
    <w:p>
      <w:pPr>
        <w:jc w:val="left"/>
      </w:pPr>
      <w:r>
        <w:t>Datum: 19. April 2026</w:t>
      </w:r>
    </w:p>
    <w:p/>
    <w:p>
      <w:pPr>
        <w:pStyle w:val="Heading2"/>
      </w:pPr>
      <w:r>
        <w:rPr>
          <w:rFonts w:ascii="Times New Roman" w:hAnsi="Times New Roman"/>
        </w:rPr>
        <w:t>Pflicht zur Bestellung eines Geldwäschebeauftragten</w:t>
      </w:r>
    </w:p>
    <w:p>
      <w:pPr>
        <w:jc w:val="left"/>
      </w:pPr>
      <w:r>
        <w:t>§ 7 Abs. 1 Satz 1 GwG verpflichtet Verpflichtete nach § 2 Abs. 1 Nr. 1 bis 3 und Nr. 6 bis 9 zur Bestellung eines Geldwäschebeauftragten. Rechtsanwaltskanzleien (§ 2 Abs. 1 Nr. 10 GwG) sind von dieser Direktverpflichtung formal nicht umfasst — § 7 Abs. 3 GwG erlaubt es jedoch der zuständigen Aufsichtsbehörde (hier: Rechtsanwaltskammer Hamburg), die Bestellung zu verlangen.</w:t>
      </w:r>
    </w:p>
    <w:p>
      <w:pPr>
        <w:jc w:val="left"/>
      </w:pPr>
      <w:r>
        <w:t>Die Rechtsanwaltskammer Hamburg hat mit Rundschreiben vom 12. März 2022 klargestellt, dass für Kanzleien ab zehn Anwälten, die regelmäßig an Immobilientransaktionen mitwirken, die freiwillige Bestellung eines internen AML-Beauftragten dringend empfohlen wird und bei entsprechender Größe verlangt werden kann.</w:t>
      </w:r>
    </w:p>
    <w:p>
      <w:pPr>
        <w:jc w:val="left"/>
      </w:pPr>
      <w:r>
        <w:t>Die Kanzlei Sandhof &amp; Partner (22 Anwälte, Immobilienschwerpunkt) hat RA Markus Fischer bis zu dessen Ausscheiden am 31. März 2025 als internen AML-Officer geführt. Seit dem Ausscheiden Fischers ist die Stelle unbesetzt.</w:t>
      </w:r>
    </w:p>
    <w:p/>
    <w:p>
      <w:pPr>
        <w:pStyle w:val="Heading2"/>
      </w:pPr>
      <w:r>
        <w:rPr>
          <w:rFonts w:ascii="Times New Roman" w:hAnsi="Times New Roman"/>
        </w:rPr>
        <w:t>Zeitliche Einordnung: Unbesetzte AML-Officer-Stelle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31. März 2025</w:t>
            </w:r>
          </w:p>
        </w:tc>
        <w:tc>
          <w:tcPr>
            <w:tcW w:type="dxa" w:w="4536"/>
          </w:tcPr>
          <w:p>
            <w:r>
              <w:rPr>
                <w:rFonts w:ascii="Times New Roman" w:hAnsi="Times New Roman"/>
                <w:sz w:val="20"/>
              </w:rPr>
              <w:t>Ausscheiden RA Fischer; AML-Officer-Stelle wird vakant</w:t>
            </w:r>
          </w:p>
        </w:tc>
      </w:tr>
      <w:tr>
        <w:tc>
          <w:tcPr>
            <w:tcW w:type="dxa" w:w="4536"/>
          </w:tcPr>
          <w:p>
            <w:r>
              <w:rPr>
                <w:rFonts w:ascii="Times New Roman" w:hAnsi="Times New Roman"/>
                <w:sz w:val="20"/>
              </w:rPr>
              <w:t>07. Februar 2025</w:t>
            </w:r>
          </w:p>
        </w:tc>
        <w:tc>
          <w:tcPr>
            <w:tcW w:type="dxa" w:w="4536"/>
          </w:tcPr>
          <w:p>
            <w:r>
              <w:rPr>
                <w:rFonts w:ascii="Times New Roman" w:hAnsi="Times New Roman"/>
                <w:sz w:val="20"/>
              </w:rPr>
              <w:t>Vierte Amrum-Transaktion (noch während Fischer nominell zuständig)</w:t>
            </w:r>
          </w:p>
        </w:tc>
      </w:tr>
      <w:tr>
        <w:tc>
          <w:tcPr>
            <w:tcW w:type="dxa" w:w="4536"/>
          </w:tcPr>
          <w:p>
            <w:r>
              <w:rPr>
                <w:rFonts w:ascii="Times New Roman" w:hAnsi="Times New Roman"/>
                <w:sz w:val="20"/>
              </w:rPr>
              <w:t>22. Februar 2026</w:t>
            </w:r>
          </w:p>
        </w:tc>
        <w:tc>
          <w:tcPr>
            <w:tcW w:type="dxa" w:w="4536"/>
          </w:tcPr>
          <w:p>
            <w:r>
              <w:rPr>
                <w:rFonts w:ascii="Times New Roman" w:hAnsi="Times New Roman"/>
                <w:sz w:val="20"/>
              </w:rPr>
              <w:t>FIU-Schreiben an Sandhof</w:t>
            </w:r>
          </w:p>
        </w:tc>
      </w:tr>
      <w:tr>
        <w:tc>
          <w:tcPr>
            <w:tcW w:type="dxa" w:w="4536"/>
          </w:tcPr>
          <w:p>
            <w:r>
              <w:rPr>
                <w:rFonts w:ascii="Times New Roman" w:hAnsi="Times New Roman"/>
                <w:sz w:val="20"/>
              </w:rPr>
              <w:t>08. März 2026</w:t>
            </w:r>
          </w:p>
        </w:tc>
        <w:tc>
          <w:tcPr>
            <w:tcW w:type="dxa" w:w="4536"/>
          </w:tcPr>
          <w:p>
            <w:r>
              <w:rPr>
                <w:rFonts w:ascii="Times New Roman" w:hAnsi="Times New Roman"/>
                <w:sz w:val="20"/>
              </w:rPr>
              <w:t>BaFin-Anhörungsschreiben</w:t>
            </w:r>
          </w:p>
        </w:tc>
      </w:tr>
    </w:tbl>
    <w:p>
      <w:pPr>
        <w:jc w:val="left"/>
      </w:pPr>
      <w:r>
        <w:t>Hinweis: Die vierte Transaktion fand statt, bevor Fischer ausschied. Sandhof hat vorgetragen, Fischer habe die Transaktionen begleitet und sei für das KYC zuständig gewesen. Fischer bestreitet dies nach Aktenlage. Er trägt vor, er sei nie konkret mit den Amrum-Transaktionen befasst gewesen.</w:t>
      </w:r>
    </w:p>
    <w:p/>
    <w:p>
      <w:pPr>
        <w:pStyle w:val="Heading2"/>
      </w:pPr>
      <w:r>
        <w:rPr>
          <w:rFonts w:ascii="Times New Roman" w:hAnsi="Times New Roman"/>
        </w:rPr>
        <w:t>Aufgaben eines AML-Officers</w:t>
      </w:r>
    </w:p>
    <w:p>
      <w:pPr>
        <w:jc w:val="left"/>
      </w:pPr>
      <w:r>
        <w:t>Ein AML-Beauftragter hat folgende Kernaufgaben:</w:t>
      </w:r>
    </w:p>
    <w:p>
      <w:pPr>
        <w:pStyle w:val="ListNumber"/>
      </w:pPr>
      <w:r>
        <w:t>Überwachung der Einhaltung der GwG-Pflichten in der Kanzlei</w:t>
      </w:r>
    </w:p>
    <w:p>
      <w:pPr>
        <w:pStyle w:val="ListNumber"/>
      </w:pPr>
      <w:r>
        <w:t>Entgegennahme und Prüfung interner Verdachtsmeldungen</w:t>
      </w:r>
    </w:p>
    <w:p>
      <w:pPr>
        <w:pStyle w:val="ListNumber"/>
      </w:pPr>
      <w:r>
        <w:t>Erstattung von FIU-Meldungen nach § 43 GwG</w:t>
      </w:r>
    </w:p>
    <w:p>
      <w:pPr>
        <w:pStyle w:val="ListNumber"/>
      </w:pPr>
      <w:r>
        <w:t>Pflege und Aktualisierung der Risikoanalyse (§ 5 GwG)</w:t>
      </w:r>
    </w:p>
    <w:p>
      <w:pPr>
        <w:pStyle w:val="ListNumber"/>
      </w:pPr>
      <w:r>
        <w:t>Schulung der Mitarbeiter</w:t>
      </w:r>
    </w:p>
    <w:p>
      <w:pPr>
        <w:pStyle w:val="ListNumber"/>
      </w:pPr>
      <w:r>
        <w:t>Ansprechpartner für Aufsichtsbehörden</w:t>
      </w:r>
    </w:p>
    <w:p>
      <w:pPr>
        <w:pStyle w:val="ListNumber"/>
      </w:pPr>
      <w:r>
        <w:t>Dokumentation aller AML-relevanten Vorgänge</w:t>
      </w:r>
    </w:p>
    <w:p>
      <w:pPr>
        <w:jc w:val="left"/>
      </w:pPr>
      <w:r>
        <w:t>Dem internen Rundschreiben der Kanzlei Sandhof &amp; Partner (Anlage, nicht in der Akte vorhanden — wird nachgefordert) soll eine Aufgabenbeschreibung für Fischer existiert haben. Diese ist bislang nicht aufgefunden worden.</w:t>
      </w:r>
    </w:p>
    <w:p/>
    <w:p>
      <w:pPr>
        <w:pStyle w:val="Heading2"/>
      </w:pPr>
      <w:r>
        <w:rPr>
          <w:rFonts w:ascii="Times New Roman" w:hAnsi="Times New Roman"/>
        </w:rPr>
        <w:t>Befund: Strukturelles Versagen</w:t>
      </w:r>
    </w:p>
    <w:p>
      <w:pPr>
        <w:jc w:val="left"/>
      </w:pPr>
      <w:r>
        <w:t>Die Kanzlei hatte bis zum Ausscheiden Fischers formal einen AML-Officer. Es ist jedoch nicht dokumentiert, dass Fischer in Bezug auf die Amrum-Transaktionen informiert war oder irgendwelche Prüfungen durchgeführt hat. Die Befragung Fischers (außerhalb dieser Akte, als Zeuge der StA Kiel) soll nach Aktenstand ergeben haben, dass Fischer im Wesentlichen für Mandantenakten im Bankrecht zuständig war und die Immobilientransaktionen der Kanzlei nicht systematisch überwacht hat.</w:t>
      </w:r>
    </w:p>
    <w:p>
      <w:pPr>
        <w:jc w:val="left"/>
      </w:pPr>
      <w:r>
        <w:t>Das Ergebnis: Der formale AML-Officer war nicht effektiv. Seit März 2025 — und damit über ein Jahr lang bis zur Erstellung dieser Akte — ist die Stelle vollständig unbesetzt. In dieser Zeit hat die BaFin ihre Prüfungen aufgenommen.</w:t>
      </w:r>
    </w:p>
    <w:p/>
    <w:p>
      <w:pPr>
        <w:pStyle w:val="Heading2"/>
      </w:pPr>
      <w:r>
        <w:rPr>
          <w:rFonts w:ascii="Times New Roman" w:hAnsi="Times New Roman"/>
        </w:rPr>
        <w:t>Bußgeldrisiko aus unbesetzter AML-Officer-Stelle</w:t>
      </w:r>
    </w:p>
    <w:p>
      <w:pPr>
        <w:jc w:val="left"/>
      </w:pPr>
      <w:r>
        <w:t>Soweit die RAK Hamburg die Bestellung verlangt hat oder verlangen kann, ist das Unterlassen nach § 56 Abs. 1 Nr. 2 GwG bußgeldbewehrt. Der Bußgeldrahmen beläuft sich auf bis zu 100.000 EUR.</w:t>
      </w:r>
    </w:p>
    <w:p>
      <w:pPr>
        <w:jc w:val="left"/>
      </w:pPr>
      <w:r>
        <w:t>Im vorliegenden Fall ist zu prüfen, ob die RAK Hamburg offiziell die Bestellung verlangt hatte. Das Rundschreiben von 2022 ist eine Empfehlung, kein Verwaltungsakt. Erst ein individueller Bescheid würde die Pflichtverletzung formalisieren. Die BaFin kann jedoch die Abwesenheit eines AML-Officers als verschärfenden Umstand im Bußgeldverfahren werten.</w:t>
      </w:r>
    </w:p>
    <w:p/>
    <w:p>
      <w:pPr>
        <w:pStyle w:val="Heading2"/>
      </w:pPr>
      <w:r>
        <w:rPr>
          <w:rFonts w:ascii="Times New Roman" w:hAnsi="Times New Roman"/>
        </w:rPr>
        <w:t>Maßnahme: Sofortige Neubestellung</w:t>
      </w:r>
    </w:p>
    <w:p>
      <w:pPr>
        <w:jc w:val="left"/>
      </w:pPr>
      <w:r>
        <w:t>Als Teil der Compliance-Remediation (siehe Aktenstück 20) ist unverzüglich ein neuer AML-Officer zu bestellen. In Betracht kommt:</w:t>
      </w:r>
    </w:p>
    <w:p>
      <w:pPr>
        <w:pStyle w:val="ListBullet"/>
      </w:pPr>
      <w:r>
        <w:t>Bestellung einer der Partneranwältinnen (RAin Westricher scheidet aus, da sie als Sachbearbeiterin in die Transaktionen involviert war)</w:t>
      </w:r>
    </w:p>
    <w:p>
      <w:pPr>
        <w:pStyle w:val="ListBullet"/>
      </w:pPr>
      <w:r>
        <w:t>Bestellung einer externen Fachperson (externer AML-Beauftragter; rechtlich möglich)</w:t>
      </w:r>
    </w:p>
    <w:p>
      <w:pPr>
        <w:pStyle w:val="ListBullet"/>
      </w:pPr>
      <w:r>
        <w:t>Mandatierung eines AML-Consulting-Dienstleisters als Überbrückungsmaßnahme</w:t>
      </w:r>
    </w:p>
    <w:p>
      <w:pPr>
        <w:jc w:val="left"/>
      </w:pPr>
      <w:r>
        <w:t>Empfehlung der Verteidigung: Noch vor Einreichung der Stellungnahme an die BaFin (bis 30. April 2026) eine neue Bestellung formalisieren und dokumentieren. Das signalisiert Kooperationsbereitschaft.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