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Risikoanalyse § 5 GwG — Kanzleimethodik und Versäumnisse</w:t>
      </w:r>
    </w:p>
    <w:p>
      <w:pPr>
        <w:jc w:val="left"/>
      </w:pPr>
      <w:r>
        <w:t>Bearbeiter: RAin Dr. Johanna Reimers</w:t>
      </w:r>
    </w:p>
    <w:p>
      <w:pPr>
        <w:jc w:val="left"/>
      </w:pPr>
      <w:r>
        <w:t>Datum: 19. April 2026</w:t>
      </w:r>
    </w:p>
    <w:p/>
    <w:p>
      <w:pPr>
        <w:pStyle w:val="Heading2"/>
      </w:pPr>
      <w:r>
        <w:rPr>
          <w:rFonts w:ascii="Times New Roman" w:hAnsi="Times New Roman"/>
        </w:rPr>
        <w:t>§ 5 GwG — Pflicht zur Risikoanalyse</w:t>
      </w:r>
    </w:p>
    <w:p>
      <w:pPr>
        <w:jc w:val="left"/>
      </w:pPr>
      <w:r>
        <w:t>§ 5 Abs. 1 GwG verpflichtet alle Verpflichteten nach § 2 GwG, die von ihnen ausgehenden Risiken der Geldwäsche und der Terrorismusfinanzierung zu ermitteln und zu bewerten (Risikoanalyse). Diese Analyse ist zu dokumentieren, regelmäßig zu aktualisieren und auf Anforderung der Aufsichtsbehörde vorzulegen.</w:t>
      </w:r>
    </w:p>
    <w:p>
      <w:pPr>
        <w:jc w:val="left"/>
      </w:pPr>
      <w:r>
        <w:t>Gemäß § 5 Abs. 2 GwG sind bei der Erstellung der Risikoanalyse einschlägige Rechtsakte der Europäischen Union, die supranationalen Risikoanalyse der Europäischen Bankaufsichtsbehörde (EBA), die nationalen Risikoanalysen der deutschen Behörden (Nationale Risikoanalyse, NRA), die Art und der Umfang der Geschäftstätigkeit sowie die Erkenntnisse der Verpflichteten selbst zu berücksichtigen.</w:t>
      </w:r>
    </w:p>
    <w:p>
      <w:pPr>
        <w:jc w:val="left"/>
      </w:pPr>
      <w:r>
        <w:t>Die Nationale Risikoanalyse 2023 der Bundesregierung identifiziert Immobilientransaktionen durch ausländische juristische Personen, insbesondere aus Hochrisikodrittländern oder mit verschachtelten Eigentumsstrukturen, als besonderes Risikofeld.</w:t>
      </w:r>
    </w:p>
    <w:p/>
    <w:p>
      <w:pPr>
        <w:pStyle w:val="Heading2"/>
      </w:pPr>
      <w:r>
        <w:rPr>
          <w:rFonts w:ascii="Times New Roman" w:hAnsi="Times New Roman"/>
        </w:rPr>
        <w:t>Risikoanalyse der Kanzlei Sandhof &amp; Partner: Befund</w:t>
      </w:r>
    </w:p>
    <w:p>
      <w:pPr>
        <w:jc w:val="left"/>
      </w:pPr>
      <w:r>
        <w:t>Die Kanzlei verfügt über eine Risikoanalyse aus dem Jahr 2019 — erstellt durch RA Fischer auf Basis eines branchenüblichen Musters der Deutschen Anwaltakademie. Diese Risikoanalyse wurde seit 2019 nicht aktualisiert.</w:t>
      </w:r>
    </w:p>
    <w:p>
      <w:pPr>
        <w:pStyle w:val="Heading3"/>
      </w:pPr>
      <w:r>
        <w:rPr>
          <w:rFonts w:ascii="Times New Roman" w:hAnsi="Times New Roman"/>
        </w:rPr>
        <w:t>Mängel der Risikoanalyse 2019</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Mangel</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Keine Berücksichtigung der AMLD V (Umsetzung 2020)</w:t>
            </w:r>
          </w:p>
        </w:tc>
        <w:tc>
          <w:tcPr>
            <w:tcW w:type="dxa" w:w="4536"/>
          </w:tcPr>
          <w:p>
            <w:r>
              <w:rPr>
                <w:rFonts w:ascii="Times New Roman" w:hAnsi="Times New Roman"/>
                <w:sz w:val="20"/>
              </w:rPr>
              <w:t>Substanziell fehlerhaft</w:t>
            </w:r>
          </w:p>
        </w:tc>
      </w:tr>
      <w:tr>
        <w:tc>
          <w:tcPr>
            <w:tcW w:type="dxa" w:w="4536"/>
          </w:tcPr>
          <w:p>
            <w:r>
              <w:rPr>
                <w:rFonts w:ascii="Times New Roman" w:hAnsi="Times New Roman"/>
                <w:sz w:val="20"/>
              </w:rPr>
              <w:t>Kein Risikofeld „Offshore-Gesellschaften als Käufer"</w:t>
            </w:r>
          </w:p>
        </w:tc>
        <w:tc>
          <w:tcPr>
            <w:tcW w:type="dxa" w:w="4536"/>
          </w:tcPr>
          <w:p>
            <w:r>
              <w:rPr>
                <w:rFonts w:ascii="Times New Roman" w:hAnsi="Times New Roman"/>
                <w:sz w:val="20"/>
              </w:rPr>
              <w:t>Kernlücke für den vorliegenden Fall</w:t>
            </w:r>
          </w:p>
        </w:tc>
      </w:tr>
      <w:tr>
        <w:tc>
          <w:tcPr>
            <w:tcW w:type="dxa" w:w="4536"/>
          </w:tcPr>
          <w:p>
            <w:r>
              <w:rPr>
                <w:rFonts w:ascii="Times New Roman" w:hAnsi="Times New Roman"/>
                <w:sz w:val="20"/>
              </w:rPr>
              <w:t>Kein Risikofeld „EU-Sanktionslisten"</w:t>
            </w:r>
          </w:p>
        </w:tc>
        <w:tc>
          <w:tcPr>
            <w:tcW w:type="dxa" w:w="4536"/>
          </w:tcPr>
          <w:p>
            <w:r>
              <w:rPr>
                <w:rFonts w:ascii="Times New Roman" w:hAnsi="Times New Roman"/>
                <w:sz w:val="20"/>
              </w:rPr>
              <w:t>Gravierende Lücke nach 2022 (Ukraine-Krise)</w:t>
            </w:r>
          </w:p>
        </w:tc>
      </w:tr>
      <w:tr>
        <w:tc>
          <w:tcPr>
            <w:tcW w:type="dxa" w:w="4536"/>
          </w:tcPr>
          <w:p>
            <w:r>
              <w:rPr>
                <w:rFonts w:ascii="Times New Roman" w:hAnsi="Times New Roman"/>
                <w:sz w:val="20"/>
              </w:rPr>
              <w:t>Kein Risikofeld „Hochpreisige Ferienimmobilien"</w:t>
            </w:r>
          </w:p>
        </w:tc>
        <w:tc>
          <w:tcPr>
            <w:tcW w:type="dxa" w:w="4536"/>
          </w:tcPr>
          <w:p>
            <w:r>
              <w:rPr>
                <w:rFonts w:ascii="Times New Roman" w:hAnsi="Times New Roman"/>
                <w:sz w:val="20"/>
              </w:rPr>
              <w:t>Fehlt trotz Geschäftsschwerpunkt</w:t>
            </w:r>
          </w:p>
        </w:tc>
      </w:tr>
      <w:tr>
        <w:tc>
          <w:tcPr>
            <w:tcW w:type="dxa" w:w="4536"/>
          </w:tcPr>
          <w:p>
            <w:r>
              <w:rPr>
                <w:rFonts w:ascii="Times New Roman" w:hAnsi="Times New Roman"/>
                <w:sz w:val="20"/>
              </w:rPr>
              <w:t>Letzte Aktualisierung: 2019</w:t>
            </w:r>
          </w:p>
        </w:tc>
        <w:tc>
          <w:tcPr>
            <w:tcW w:type="dxa" w:w="4536"/>
          </w:tcPr>
          <w:p>
            <w:r>
              <w:rPr>
                <w:rFonts w:ascii="Times New Roman" w:hAnsi="Times New Roman"/>
                <w:sz w:val="20"/>
              </w:rPr>
              <w:t>Nicht mehr aktuell; Pflicht zur jährlichen Überprüfung</w:t>
            </w:r>
          </w:p>
        </w:tc>
      </w:tr>
      <w:tr>
        <w:tc>
          <w:tcPr>
            <w:tcW w:type="dxa" w:w="4536"/>
          </w:tcPr>
          <w:p>
            <w:r>
              <w:rPr>
                <w:rFonts w:ascii="Times New Roman" w:hAnsi="Times New Roman"/>
                <w:sz w:val="20"/>
              </w:rPr>
              <w:t>Nicht an MV- und SH-Transaktionspraxis angepasst</w:t>
            </w:r>
          </w:p>
        </w:tc>
        <w:tc>
          <w:tcPr>
            <w:tcW w:type="dxa" w:w="4536"/>
          </w:tcPr>
          <w:p>
            <w:r>
              <w:rPr>
                <w:rFonts w:ascii="Times New Roman" w:hAnsi="Times New Roman"/>
                <w:sz w:val="20"/>
              </w:rPr>
              <w:t>Zu generisch</w:t>
            </w:r>
          </w:p>
        </w:tc>
      </w:tr>
    </w:tbl>
    <w:p>
      <w:pPr>
        <w:pStyle w:val="Heading3"/>
      </w:pPr>
      <w:r>
        <w:rPr>
          <w:rFonts w:ascii="Times New Roman" w:hAnsi="Times New Roman"/>
        </w:rPr>
        <w:t>Konsequenz</w:t>
      </w:r>
    </w:p>
    <w:p>
      <w:pPr>
        <w:jc w:val="left"/>
      </w:pPr>
      <w:r>
        <w:t>Weil die Risikoanalyse veraltet und lückenhaft ist, fehlen auch die auf ihr aufbauenden Sicherungsmaßnahmen nach § 6 GwG:</w:t>
      </w:r>
    </w:p>
    <w:p>
      <w:pPr>
        <w:pStyle w:val="ListBullet"/>
      </w:pPr>
      <w:r>
        <w:t>Keine risikogesteuerten KYC-Checklisten für Offshore-Käufer</w:t>
      </w:r>
    </w:p>
    <w:p>
      <w:pPr>
        <w:pStyle w:val="ListBullet"/>
      </w:pPr>
      <w:r>
        <w:t>Kein Eskalationsprozess bei Risikomerkmalen</w:t>
      </w:r>
    </w:p>
    <w:p>
      <w:pPr>
        <w:pStyle w:val="ListBullet"/>
      </w:pPr>
      <w:r>
        <w:t>Keine Schulungsunterlagen für die Sachbearbeiter Westricher und Bohlmann</w:t>
      </w:r>
    </w:p>
    <w:p/>
    <w:p>
      <w:pPr>
        <w:pStyle w:val="Heading2"/>
      </w:pPr>
      <w:r>
        <w:rPr>
          <w:rFonts w:ascii="Times New Roman" w:hAnsi="Times New Roman"/>
        </w:rPr>
        <w:t>Nationale Risikoanalyse und internationale Vorgaben</w:t>
      </w:r>
    </w:p>
    <w:p>
      <w:pPr>
        <w:pStyle w:val="Heading3"/>
      </w:pPr>
      <w:r>
        <w:rPr>
          <w:rFonts w:ascii="Times New Roman" w:hAnsi="Times New Roman"/>
        </w:rPr>
        <w:t>NRA Deutschland 2023</w:t>
      </w:r>
    </w:p>
    <w:p>
      <w:pPr>
        <w:jc w:val="left"/>
      </w:pPr>
      <w:r>
        <w:t>Die Nationale Risikoanalyse (NRA) 2023, herausgegeben vom Bundesministerium der Finanzen, enthält Kapitel 3.4 (Immobiliensektor) mit explizitem Hinweis auf:</w:t>
      </w:r>
    </w:p>
    <w:p>
      <w:pPr>
        <w:pStyle w:val="ListBullet"/>
      </w:pPr>
      <w:r>
        <w:t>Verwendung von Briefkastengesellschaften aus EU-Ländern (Zypern, Malta, Luxemburg)</w:t>
      </w:r>
    </w:p>
    <w:p>
      <w:pPr>
        <w:pStyle w:val="ListBullet"/>
      </w:pPr>
      <w:r>
        <w:t>Bargeldzahlungen und Offshore-Überweisungen</w:t>
      </w:r>
    </w:p>
    <w:p>
      <w:pPr>
        <w:pStyle w:val="ListBullet"/>
      </w:pPr>
      <w:r>
        <w:t>Hochpreisige Objekte als Geldwäscheinstrument</w:t>
      </w:r>
    </w:p>
    <w:p>
      <w:pPr>
        <w:jc w:val="left"/>
      </w:pPr>
      <w:r>
        <w:t>Diese Risikohinweise hätten in die Risikoanalyse der Kanzlei eingearbeitet werden müssen.</w:t>
      </w:r>
    </w:p>
    <w:p>
      <w:pPr>
        <w:pStyle w:val="Heading3"/>
      </w:pPr>
      <w:r>
        <w:rPr>
          <w:rFonts w:ascii="Times New Roman" w:hAnsi="Times New Roman"/>
        </w:rPr>
        <w:t>FATF und AMLD</w:t>
      </w:r>
    </w:p>
    <w:p>
      <w:pPr>
        <w:jc w:val="left"/>
      </w:pPr>
      <w:r>
        <w:t>Die Financial Action Task Force (FATF) führt seit 2022 auch EU-interne Mechanismen zur verstärkten Überwachung zypriotischer Gesellschaften in ihren Typologien. Zypern steht nicht auf der grauen Liste, wird aber in FATF-Typologiedokumenten häufig als Jurisdiktion mit Offshore-Strukturen erwähnt.</w:t>
      </w:r>
    </w:p>
    <w:p/>
    <w:p>
      <w:pPr>
        <w:pStyle w:val="Heading2"/>
      </w:pPr>
      <w:r>
        <w:rPr>
          <w:rFonts w:ascii="Times New Roman" w:hAnsi="Times New Roman"/>
        </w:rPr>
        <w:t>Verteidigungsargument: Unverhältnismäßigkeit</w:t>
      </w:r>
    </w:p>
    <w:p>
      <w:pPr>
        <w:jc w:val="left"/>
      </w:pPr>
      <w:r>
        <w:t>Die Verteidigung kann argumentieren, dass von einer mittelgroßen Anwaltskanzlei mit Immobilienschwerpunkt keine professionelle AML-Infrastruktur wie von einer Großbank verlangt werden kann. Das Verhältnismäßigkeitsprinzip aus § 4 Abs. 1 GwG (risikobasierter Ansatz) erlaubt es, die Maßnahmen am konkreten Risikoprofil der Kanzlei auszurichten.</w:t>
      </w:r>
    </w:p>
    <w:p>
      <w:pPr>
        <w:jc w:val="left"/>
      </w:pPr>
      <w:r>
        <w:t>Schwäche: Vier Erwerbe durch dieselbe Offshore-Gesellschaft von über 4,5 Mio. EUR Gesamtvolumen sind auch nach einem minimalen risikobasierten Ansatz ein Hochrisikofall. Das Argument der Unverhältnismäßigkeit verfängt hier nicht.</w:t>
      </w:r>
    </w:p>
    <w:p/>
    <w:p>
      <w:pPr>
        <w:pStyle w:val="Heading2"/>
      </w:pPr>
      <w:r>
        <w:rPr>
          <w:rFonts w:ascii="Times New Roman" w:hAnsi="Times New Roman"/>
        </w:rPr>
        <w:t>Handlungsempfehlung: Neue Risikoanalyse</w:t>
      </w:r>
    </w:p>
    <w:p>
      <w:pPr>
        <w:jc w:val="left"/>
      </w:pPr>
      <w:r>
        <w:t>Als Teil des Compliance-Redesigns ist bis spätestens 31. Mai 2026 eine neue, umfassende Risikoanalyse nach § 5 GwG zu erstellen. Diese muss umfassen:</w:t>
      </w:r>
    </w:p>
    <w:p>
      <w:pPr>
        <w:pStyle w:val="ListNumber"/>
      </w:pPr>
      <w:r>
        <w:t>Geschäftsmodell und Transaktionsprofil der Kanzlei (Immobilientransaktionen SH/MV)</w:t>
      </w:r>
    </w:p>
    <w:p>
      <w:pPr>
        <w:pStyle w:val="ListNumber"/>
      </w:pPr>
      <w:r>
        <w:t>Kundenprofil (Privatpersonen, inländische GmbHs, ausländische Gesellschaften)</w:t>
      </w:r>
    </w:p>
    <w:p>
      <w:pPr>
        <w:pStyle w:val="ListNumber"/>
      </w:pPr>
      <w:r>
        <w:t>Produkt-/Dienstleistungsrisiken (Kaufvertragsbegleitung, Beratung, Vollstreckung)</w:t>
      </w:r>
    </w:p>
    <w:p>
      <w:pPr>
        <w:pStyle w:val="ListNumber"/>
      </w:pPr>
      <w:r>
        <w:t>Geografische Risiken (Mecklenburg-Vorpommern als bekanntes Risikogebiet für russische Kapitalanleger)</w:t>
      </w:r>
    </w:p>
    <w:p>
      <w:pPr>
        <w:pStyle w:val="ListNumber"/>
      </w:pPr>
      <w:r>
        <w:t>Vertriebskanäle (direkter Mandantenkontakt, Maklereinführungen)</w:t>
      </w:r>
    </w:p>
    <w:p>
      <w:pPr>
        <w:pStyle w:val="ListNumber"/>
      </w:pPr>
      <w:r>
        <w:t>Maßnahmenkatalog mit Eskalationsprozessen</w:t>
      </w:r>
    </w:p>
    <w:p>
      <w:pPr>
        <w:jc w:val="left"/>
      </w:pPr>
      <w:r>
        <w:t>Die neue Risikoanalyse ist der BaFin zusammen mit der Stellungnahme vorzulegen.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