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 261 StGB — Geldwäsche gegen Sandhof</w:t>
      </w:r>
    </w:p>
    <w:p>
      <w:pPr>
        <w:jc w:val="left"/>
      </w:pPr>
      <w:r>
        <w:t>Bearbeiter: RA Dr. Henning Quasdorf</w:t>
      </w:r>
    </w:p>
    <w:p>
      <w:pPr>
        <w:jc w:val="left"/>
      </w:pPr>
      <w:r>
        <w:t>Datum: 20. April 2026</w:t>
      </w:r>
    </w:p>
    <w:p/>
    <w:p>
      <w:pPr>
        <w:pStyle w:val="Heading2"/>
      </w:pPr>
      <w:r>
        <w:rPr>
          <w:rFonts w:ascii="Times New Roman" w:hAnsi="Times New Roman"/>
        </w:rPr>
        <w:t>Verfahrensgrundlage</w:t>
      </w:r>
    </w:p>
    <w:p>
      <w:pPr>
        <w:jc w:val="left"/>
      </w:pPr>
      <w:r>
        <w:t>Aktenzeichen StA Kiel: 4 KS 188/26</w:t>
      </w:r>
    </w:p>
    <w:p>
      <w:pPr>
        <w:jc w:val="left"/>
      </w:pPr>
      <w:r>
        <w:t>Tatvorwurf: Geldwäsche gemäß § 261 Abs. 1, Abs. 2 StGB</w:t>
      </w:r>
    </w:p>
    <w:p>
      <w:pPr>
        <w:jc w:val="left"/>
      </w:pPr>
      <w:r>
        <w:t>Anzeigestatter: FIU (nach § 31a GwG an die Staatsanwaltschaft weitergeleitet) sowie Strafanzeige des Bundesministeriums der Finanzen nach Abschluss der NRA-Prüfung</w:t>
      </w:r>
    </w:p>
    <w:p>
      <w:pPr>
        <w:jc w:val="left"/>
      </w:pPr>
      <w:r>
        <w:t>Die Strafanzeige wurde nach Aktenlage Ende Januar 2026 bei der StA Kiel erstattet. Zuständigkeit Kiel ergibt sich aus § 74c GVG i.V.m. dem Gerichtsstand des Erfüllungsortes (Grundstücke in Schleswig-Holstein).</w:t>
      </w:r>
    </w:p>
    <w:p/>
    <w:p>
      <w:pPr>
        <w:pStyle w:val="Heading2"/>
      </w:pPr>
      <w:r>
        <w:rPr>
          <w:rFonts w:ascii="Times New Roman" w:hAnsi="Times New Roman"/>
        </w:rPr>
        <w:t>§ 261 StGB — Tatbestand (Fassung ab 18.03.2021)</w:t>
      </w:r>
    </w:p>
    <w:p>
      <w:pPr>
        <w:jc w:val="left"/>
      </w:pPr>
      <w:r>
        <w:t>§ 261 Abs. 1 StGB (n.F., Fassung durch das Gesetz zur Verbesserung der strafrechtlichen Bekämpfung der Geldwäsche vom 09.03.2021, BGBl. I S. 327):</w:t>
      </w:r>
    </w:p>
    <w:p>
      <w:pPr>
        <w:jc w:val="left"/>
      </w:pPr>
      <w:r>
        <w:t>„Wer einen Gegenstand, der aus einer rechtswidrigen Tat herrührt, verbirgt, dessen Herkunft verschleiert oder die Ermittlung der Herkunft, das Auffinden, den Verfall, die Einziehung oder die Sicherstellung eines solchen Gegenstandes vereitelt oder gefährdet, wird mit Freiheitsstrafe von drei Monaten bis zu fünf Jahren bestraft."</w:t>
      </w:r>
    </w:p>
    <w:p>
      <w:pPr>
        <w:jc w:val="left"/>
      </w:pPr>
      <w:r>
        <w:t>§ 261 Abs. 2 StGB: Wer einen Gegenstand, der aus einer rechtswidrigen Tat herrührt, sich oder einem Dritten verschafft, verwahrt oder für sich oder einen Dritten verwendet, wird mit Freiheitsstrafe bis zu zwei Jahren oder Geldstrafe bestraft.</w:t>
      </w:r>
    </w:p>
    <w:p>
      <w:pPr>
        <w:jc w:val="left"/>
      </w:pPr>
      <w:r>
        <w:t>Erhebliche Neuerung durch das Gesetz 2021: Die bisherige Katalogtatenliste als Vortat entfiel. § 261 StGB n.F. setzt als Vortat nur noch eine „rechtswidrige Tat" voraus — jede Straftat kann nunmehr Vortat sein. Das ist eine erhebliche Ausweitung gegenüber der alten Rechtslage.</w:t>
      </w:r>
    </w:p>
    <w:p/>
    <w:p>
      <w:pPr>
        <w:pStyle w:val="Heading2"/>
      </w:pPr>
      <w:r>
        <w:rPr>
          <w:rFonts w:ascii="Times New Roman" w:hAnsi="Times New Roman"/>
        </w:rPr>
        <w:t>Vorwurf gegen Sandhof: Subsumtion</w:t>
      </w:r>
    </w:p>
    <w:p>
      <w:pPr>
        <w:pStyle w:val="Heading3"/>
      </w:pPr>
      <w:r>
        <w:rPr>
          <w:rFonts w:ascii="Times New Roman" w:hAnsi="Times New Roman"/>
        </w:rPr>
        <w:t>Vortat</w:t>
      </w:r>
    </w:p>
    <w:p>
      <w:pPr>
        <w:jc w:val="left"/>
      </w:pPr>
      <w:r>
        <w:t>Als Vortat kommt nach der Strafanzeige in Betracht:</w:t>
      </w:r>
    </w:p>
    <w:p>
      <w:pPr>
        <w:pStyle w:val="ListNumber"/>
      </w:pPr>
      <w:r>
        <w:t>Verstoß gegen die EU-Sanktionsverordnung (VO (EU) Nr. 833/2014 i.V.m. VO (EU) 2024/881) — bewusstes Zurverfügungstellen von Wirtschaftsgütern (Anwaltsdienstleistungen) an eine sanktionierte Person (§ 17 AWG).</w:t>
      </w:r>
    </w:p>
    <w:p>
      <w:pPr>
        <w:pStyle w:val="ListNumber"/>
      </w:pPr>
      <w:r>
        <w:t>Steuerhinterziehung in Russland (nicht belegt, aber als Hintergrundvermutung der StA vorhanden).</w:t>
      </w:r>
    </w:p>
    <w:p>
      <w:pPr>
        <w:pStyle w:val="ListNumber"/>
      </w:pPr>
      <w:r>
        <w:t>Unterstützung der russischen Kriegswirtschaft als Teilnahme an einer Katalogtat nach dem Kriegswaffenkontrollgesetz.</w:t>
      </w:r>
    </w:p>
    <w:p>
      <w:pPr>
        <w:pStyle w:val="Heading3"/>
      </w:pPr>
      <w:r>
        <w:rPr>
          <w:rFonts w:ascii="Times New Roman" w:hAnsi="Times New Roman"/>
        </w:rPr>
        <w:t>Tathandlung (Sandhof)</w:t>
      </w:r>
    </w:p>
    <w:p>
      <w:pPr>
        <w:jc w:val="left"/>
      </w:pPr>
      <w:r>
        <w:t>Die StA Kiel wirft Sandhof vor, durch die anwaltliche Begleitung der vier Kaufverträge Gelder, die aus Vortaten (Verstoß gegen Sanktionsrecht) herrühren, für Smolenski zu verbergen und die Herkunft zu verschleiern (Immobilieninvestition als Geldwäscheinstrument).</w:t>
      </w:r>
    </w:p>
    <w:p>
      <w:pPr>
        <w:pStyle w:val="Heading3"/>
      </w:pPr>
      <w:r>
        <w:rPr>
          <w:rFonts w:ascii="Times New Roman" w:hAnsi="Times New Roman"/>
        </w:rPr>
        <w:t>Subjektiver Tatbestand</w:t>
      </w:r>
    </w:p>
    <w:p>
      <w:pPr>
        <w:jc w:val="left"/>
      </w:pPr>
      <w:r>
        <w:t>§ 261 Abs. 1 StGB verlangt Vorsatz. Der dolus eventualis (bedingter Vorsatz) genügt. Die StA argumentiert:</w:t>
      </w:r>
    </w:p>
    <w:p>
      <w:pPr>
        <w:pStyle w:val="ListBullet"/>
      </w:pPr>
      <w:r>
        <w:t>Papadimitriou wies auf einen „russischen Eigentümer" hin.</w:t>
      </w:r>
    </w:p>
    <w:p>
      <w:pPr>
        <w:pStyle w:val="ListBullet"/>
      </w:pPr>
      <w:r>
        <w:t>Die Häufung von vier Transaktionen war offensichtlich ungewöhnlich.</w:t>
      </w:r>
    </w:p>
    <w:p>
      <w:pPr>
        <w:pStyle w:val="ListBullet"/>
      </w:pPr>
      <w:r>
        <w:t>Ein Sanktionscheck wäre einfach und kostengünstig durchzuführen gewesen.</w:t>
      </w:r>
    </w:p>
    <w:p>
      <w:pPr>
        <w:pStyle w:val="ListBullet"/>
      </w:pPr>
      <w:r>
        <w:t>Der Unterblieb deswegen, weil eine Prüfung die Transaktionen gefährdet hätte.</w:t>
      </w:r>
    </w:p>
    <w:p>
      <w:pPr>
        <w:jc w:val="left"/>
      </w:pPr>
      <w:r>
        <w:t>Diesen letzten Schluss — bewusstes Nicht-Prüfen zur Ermöglichung der Transaktion — bestreitet Sandhof kategorisch. Er trägt vor, es habe schlicht keine ausreichende interne Infrastruktur gegeben.</w:t>
      </w:r>
    </w:p>
    <w:p/>
    <w:p>
      <w:pPr>
        <w:pStyle w:val="Heading2"/>
      </w:pPr>
      <w:r>
        <w:rPr>
          <w:rFonts w:ascii="Times New Roman" w:hAnsi="Times New Roman"/>
        </w:rPr>
        <w:t>Strafmaß und Strafhöhe</w:t>
      </w:r>
    </w:p>
    <w:p>
      <w:pPr>
        <w:jc w:val="left"/>
      </w:pPr>
      <w:r>
        <w:t>§ 261 Abs. 1 StGB: Freiheitsstrafe bis zu fünf Jahren oder Geldstrafe.</w:t>
      </w:r>
    </w:p>
    <w:p>
      <w:pPr>
        <w:jc w:val="left"/>
      </w:pPr>
      <w:r>
        <w:t>Besonders schwerer Fall (§ 261 Abs. 5 StGB): Freiheitsstrafe von sechs Monaten bis zu zehn Jahren — u.a. bei gewerbsmäßigem Handeln oder wenn der Gegenstand aus einer schwerwiegenden Steuerhinterziehung stammt.</w:t>
      </w:r>
    </w:p>
    <w:p>
      <w:pPr>
        <w:jc w:val="left"/>
      </w:pPr>
      <w:r>
        <w:t>Die StA dürfte zunächst den einfachen Fall anvisieren. Ein Berufsverbot (§ 70 StGB) ist möglich, aber nicht zwingend.</w:t>
      </w:r>
    </w:p>
    <w:p/>
    <w:p>
      <w:pPr>
        <w:pStyle w:val="Heading2"/>
      </w:pPr>
      <w:r>
        <w:rPr>
          <w:rFonts w:ascii="Times New Roman" w:hAnsi="Times New Roman"/>
        </w:rPr>
        <w:t>Rechtsprechung: Leichtfertige Geldwäsche</w:t>
      </w:r>
    </w:p>
    <w:p>
      <w:pPr>
        <w:jc w:val="left"/>
      </w:pPr>
      <w:r>
        <w:t>§ 261 Abs. 6 StGB (n.F.) erfasst auch die leichtfertige Geldwäsche (ehemals § 261 Abs. 5 a.F.). Sanktionsrahmen: Freiheitsstrafe bis zu zwei Jahren oder Geldstrafe.</w:t>
      </w:r>
    </w:p>
    <w:p>
      <w:pPr>
        <w:jc w:val="left"/>
      </w:pPr>
      <w:r>
        <w:t>Für die Verteidigung ist § 261 Abs. 6 StGB der günstigste Ausgang im Strafverfahren. Wenn sich nachweisen lässt, dass Sandhof keine Kenntnis hatte, aber die entsprechenden Hinweise bei gebotener Sorgfalt hätte erkennen können, wäre der mildere Tatbestand einschlägig.</w:t>
      </w:r>
    </w:p>
    <w:p>
      <w:pPr>
        <w:jc w:val="left"/>
      </w:pPr>
      <w:r>
        <w:t>Aus der Rechtsprechung: BGH, Urt. v. 17.07.1997 — 1 StR 791/96 (BGHSt 43, 158) zur Leichtfertigkeit bei der Geldwäsche: Es genügt, wenn sich der Verpflichtete grob fahrlässig über das Herkunftsverdacht hinwegsetzt. BGH, Beschl. v. 26.11.2020 — 3 StR 469/19 zur Anwendung des § 261 StGB a.F. auf professionelle Dienstleister; vgl. openjur.de, Urteilsdatenbank.</w:t>
      </w:r>
    </w:p>
    <w:p/>
    <w:p>
      <w:pPr>
        <w:pStyle w:val="Heading2"/>
      </w:pPr>
      <w:r>
        <w:rPr>
          <w:rFonts w:ascii="Times New Roman" w:hAnsi="Times New Roman"/>
        </w:rPr>
        <w:t>Verteidigungsstrategie Strafverfahren</w:t>
      </w:r>
    </w:p>
    <w:p>
      <w:pPr>
        <w:pStyle w:val="Heading3"/>
      </w:pPr>
      <w:r>
        <w:rPr>
          <w:rFonts w:ascii="Times New Roman" w:hAnsi="Times New Roman"/>
        </w:rPr>
        <w:t>Phase 1: Akteneinsicht und Sachverhaltsklärung</w:t>
      </w:r>
    </w:p>
    <w:p>
      <w:pPr>
        <w:jc w:val="left"/>
      </w:pPr>
      <w:r>
        <w:t>Sobald Akteneinsicht gewährt ist, muss die Befragung von Papadimitriou (als Zeuge oder Beschuldigter) evaluiert werden. Außerdem: Welche Erkenntnisquellen hatte die StA Kiel und woher stammen die Informationen zu Smolenski als UBO?</w:t>
      </w:r>
    </w:p>
    <w:p>
      <w:pPr>
        <w:pStyle w:val="Heading3"/>
      </w:pPr>
      <w:r>
        <w:rPr>
          <w:rFonts w:ascii="Times New Roman" w:hAnsi="Times New Roman"/>
        </w:rPr>
        <w:t>Phase 2: Vorsatzentwurf</w:t>
      </w:r>
    </w:p>
    <w:p>
      <w:pPr>
        <w:jc w:val="left"/>
      </w:pPr>
      <w:r>
        <w:t>Die Verteidigung muss nachweisen (oder zumindest glaubhaft machen), dass Sandhof keine positive Kenntnis von Smolenski hatte. Entlastungsbeweise:</w:t>
      </w:r>
    </w:p>
    <w:p>
      <w:pPr>
        <w:pStyle w:val="ListBullet"/>
      </w:pPr>
      <w:r>
        <w:t>Interne E-Mails Sandhofs, die keine Erwähnung von Smolenski zeigen</w:t>
      </w:r>
    </w:p>
    <w:p>
      <w:pPr>
        <w:pStyle w:val="ListBullet"/>
      </w:pPr>
      <w:r>
        <w:t>Aussage Westricher und Bohlmann, dass Smolenski intern nicht bekannt war</w:t>
      </w:r>
    </w:p>
    <w:p>
      <w:pPr>
        <w:pStyle w:val="ListBullet"/>
      </w:pPr>
      <w:r>
        <w:t>Nachweis fehlender Schulung / fehlender internen AML-Infrastruktur als Systemfehler, nicht als individuelles Verschweigen</w:t>
      </w:r>
    </w:p>
    <w:p>
      <w:pPr>
        <w:pStyle w:val="Heading3"/>
      </w:pPr>
      <w:r>
        <w:rPr>
          <w:rFonts w:ascii="Times New Roman" w:hAnsi="Times New Roman"/>
        </w:rPr>
        <w:t>Phase 3: Milderung oder Einstellung</w:t>
      </w:r>
    </w:p>
    <w:p>
      <w:pPr>
        <w:jc w:val="left"/>
      </w:pPr>
      <w:r>
        <w:t>Wenn Vorsatz nicht widerlegbar ist, kommt eine Verfahrenseinstellung nach § 153a StPO in Betracht (Auflage: Zahlung einer Geldsumme, Compliance-Maßnahmen). Eine Verständigung nach § 257c StPO ist nicht ausgeschlossen.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