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RAK Hamburg — Berufsrechtliches Verfahren (§ 73 BRAO)</w:t>
      </w:r>
    </w:p>
    <w:p>
      <w:pPr>
        <w:jc w:val="left"/>
      </w:pPr>
      <w:r>
        <w:t>Bearbeiter: RAin Dr. Johanna Reimers</w:t>
      </w:r>
    </w:p>
    <w:p>
      <w:pPr>
        <w:jc w:val="left"/>
      </w:pPr>
      <w:r>
        <w:t>Datum: 21. April 2026</w:t>
      </w:r>
    </w:p>
    <w:p/>
    <w:p>
      <w:pPr>
        <w:pStyle w:val="Heading2"/>
      </w:pPr>
      <w:r>
        <w:rPr>
          <w:rFonts w:ascii="Times New Roman" w:hAnsi="Times New Roman"/>
        </w:rPr>
        <w:t>Zuständigkeit und Verfahrensgrundlage</w:t>
      </w:r>
    </w:p>
    <w:p>
      <w:pPr>
        <w:jc w:val="left"/>
      </w:pPr>
      <w:r>
        <w:t>Die Rechtsanwaltskammer Hamburg (RAK Hamburg) ist nach § 73 Abs. 2 Nr. 4 BRAO zuständig für die Aufsicht über die Berufsausübung ihrer Mitglieder. Als zuständige Kammer für Friedrich-Wilhelm Sandhof (Zulassung HH seit 1997) kann sie Maßnahmen nach §§ 74, 74a BRAO ergreifen.</w:t>
      </w:r>
    </w:p>
    <w:p>
      <w:pPr>
        <w:jc w:val="left"/>
      </w:pPr>
      <w:r>
        <w:t>Im vorliegenden Fall hat die RAK Hamburg am 15. März 2026 eine Rüge nach § 74 BRAO erteilt. Sandhof hat durch Quasdorf &amp; Reimers Widerspruch eingelegt (§ 74a BRAO), der aufschiebende Wirkung hat. Über den Widerspruch ist noch nicht entschieden.</w:t>
      </w:r>
    </w:p>
    <w:p/>
    <w:p>
      <w:pPr>
        <w:pStyle w:val="Heading2"/>
      </w:pPr>
      <w:r>
        <w:rPr>
          <w:rFonts w:ascii="Times New Roman" w:hAnsi="Times New Roman"/>
        </w:rPr>
        <w:t>Das berufsrechtliche Verfahren im Überblick</w:t>
      </w:r>
    </w:p>
    <w:p>
      <w:pPr>
        <w:pStyle w:val="Heading3"/>
      </w:pPr>
      <w:r>
        <w:rPr>
          <w:rFonts w:ascii="Times New Roman" w:hAnsi="Times New Roman"/>
        </w:rPr>
        <w:t>Rüge nach § 74 BRAO</w:t>
      </w:r>
    </w:p>
    <w:p>
      <w:pPr>
        <w:jc w:val="left"/>
      </w:pPr>
      <w:r>
        <w:t>Die Rüge ist das mildeste berufsrechtliche Instrument. Sie ist kein Disziplinarurteil, hat keine Bindungswirkung für spätere Straf- oder Bußgeldverfahren und wird nicht in das Bundeszentralregister eingetragen. Sie richtet sich an das Berufsbewusstsein des Anwalts und ist mit einer Belehrung verbunden.</w:t>
      </w:r>
    </w:p>
    <w:p>
      <w:pPr>
        <w:jc w:val="left"/>
      </w:pPr>
      <w:r>
        <w:t>Inhalt der Rüge (Az. RAK HH 2026/0317, Schreiben vom 15.03.2026): Die RAK rügt:</w:t>
      </w:r>
    </w:p>
    <w:p>
      <w:pPr>
        <w:pStyle w:val="ListBullet"/>
      </w:pPr>
      <w:r>
        <w:t>Verletzung der Berufspflicht zur Einhaltung der GwG-Sorgfaltspflichten (§ 43 BRAO)</w:t>
      </w:r>
    </w:p>
    <w:p>
      <w:pPr>
        <w:pStyle w:val="ListBullet"/>
      </w:pPr>
      <w:r>
        <w:t>Verletzung der Pflicht zur gewissenhaften Berufsausübung (§ 43 Satz 1 BRAO)</w:t>
      </w:r>
    </w:p>
    <w:p>
      <w:pPr>
        <w:pStyle w:val="ListBullet"/>
      </w:pPr>
      <w:r>
        <w:t>Mögliche Verletzung der Pflicht, keine Interessen zu vertreten, die mit denen des Mandanten in Konflikt stehen (§ 43a Abs. 4 BRAO — in Bezug auf die Doppelfunktion als Partner und als de-facto-AML-Verantwortlicher)</w:t>
      </w:r>
    </w:p>
    <w:p>
      <w:pPr>
        <w:pStyle w:val="Heading3"/>
      </w:pPr>
      <w:r>
        <w:rPr>
          <w:rFonts w:ascii="Times New Roman" w:hAnsi="Times New Roman"/>
        </w:rPr>
        <w:t>Mögliche Folgebeschlüsse</w:t>
      </w:r>
    </w:p>
    <w:p>
      <w:pPr>
        <w:jc w:val="left"/>
      </w:pPr>
      <w:r>
        <w:t>Wenn der Widerspruch gegen die Rüge erfolglos ist und das Strafverfahren zu einer Verurteilung führt, kann der Vorstand der RAK Hamburg (§ 73 Abs. 2 Nr. 4 BRAO) ein Verfahren vor dem Anwaltsgericht einleiten. Das Anwaltsgericht (§§ 91 ff. BRAO) kann folgende Maßnahmen verhängen: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114 Abs. 1 Nr. 1 BRAO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Aktenkundige Rüge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114 Abs. 1 Nr. 2 BRAO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Formelle Missbilligung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Geldbuße (bis 25.000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114 Abs. 1 Nr. 3 BRAO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Finanzielle Sanktion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 der Vertretung auf Rechtsgebieten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114 Abs. 1 Nr. 4 BRAO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Tätigkeitsbeschränkung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Ausschließung aus der RA-schaft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114 Abs. 1 Nr. 5 BRAO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Berufsende</w:t>
            </w:r>
          </w:p>
        </w:tc>
      </w:tr>
    </w:tbl>
    <w:p>
      <w:pPr>
        <w:jc w:val="left"/>
      </w:pPr>
      <w:r>
        <w:t>Die Ausschließung (§ 114 Abs. 1 Nr. 5 BRAO) ist das schwerste Mittel. Sie kommt nur in Betracht, wenn die weitere Berufsausübung die Rechtspflege gefährdet oder das Ansehen der Anwaltschaft schwerwiegend beeinträchtigt. Bei einer Verurteilung nach § 261 StGB ist die Ausschließung zwar möglich, aber nicht zwingend. In der Praxis entschied der BGH in vergleichbaren Fällen zurückhaltend.</w:t>
      </w:r>
    </w:p>
    <w:p/>
    <w:p>
      <w:pPr>
        <w:pStyle w:val="Heading2"/>
      </w:pPr>
      <w:r>
        <w:rPr>
          <w:rFonts w:ascii="Times New Roman" w:hAnsi="Times New Roman"/>
        </w:rPr>
        <w:t>§ 43a BRAO — Sorgfaltspflicht als Bezugspunkt</w:t>
      </w:r>
    </w:p>
    <w:p>
      <w:pPr>
        <w:jc w:val="left"/>
      </w:pPr>
      <w:r>
        <w:t>§ 43a BRAO enthält die berufsrechtlichen Grundpflichten des Anwalts. Für den vorliegenden Fall relevant:</w:t>
      </w:r>
    </w:p>
    <w:p>
      <w:pPr>
        <w:jc w:val="left"/>
      </w:pPr>
      <w:r>
        <w:t>§ 43a Abs. 1 BRAO: Rechtsanwälte dürfen keine Bindungen eingehen, die ihre berufliche Unabhängigkeit gefährden.</w:t>
      </w:r>
    </w:p>
    <w:p>
      <w:pPr>
        <w:jc w:val="left"/>
      </w:pPr>
      <w:r>
        <w:t>§ 43a Abs. 4 BRAO: Rechtsanwälte dürfen nicht beide Seiten eines Interessenkonflikts vertreten.</w:t>
      </w:r>
    </w:p>
    <w:p>
      <w:pPr>
        <w:jc w:val="left"/>
      </w:pPr>
      <w:r>
        <w:t>§ 43a Abs. 2 BRAO: Rechtsanwälte sind zur Verschwiegenheit über Angelegenheiten verpflichtet, die ihnen in ihrer Eigenschaft als Rechtsanwalt anvertraut wurden.</w:t>
      </w:r>
    </w:p>
    <w:p>
      <w:pPr>
        <w:jc w:val="left"/>
      </w:pPr>
      <w:r>
        <w:t>Für die Berufsrechtssache bedeutsam: Die RAK Hamburg argumentiert in ihrer Rüge, Sandhof habe durch den Verzicht auf eine GwG-Prüfung seine Rolle als Vertrauensberufsträger verletzt. Das ist ein normativ-berufsrechtlicher Vorwurf, der unabhängig vom Strafvorwurf besteht.</w:t>
      </w:r>
    </w:p>
    <w:p/>
    <w:p>
      <w:pPr>
        <w:pStyle w:val="Heading2"/>
      </w:pPr>
      <w:r>
        <w:rPr>
          <w:rFonts w:ascii="Times New Roman" w:hAnsi="Times New Roman"/>
        </w:rPr>
        <w:t>Widerspruchsstrategie</w:t>
      </w:r>
    </w:p>
    <w:p>
      <w:pPr>
        <w:jc w:val="left"/>
      </w:pPr>
      <w:r>
        <w:t>Der Widerspruch gegen die Rüge nach § 74a BRAO hat folgende Stoßrichtung:</w:t>
      </w:r>
    </w:p>
    <w:p>
      <w:pPr>
        <w:pStyle w:val="ListNumber"/>
      </w:pPr>
      <w:r>
        <w:rPr>
          <w:b/>
        </w:rPr>
        <w:t>Formelle Rüge:</w:t>
      </w:r>
      <w:r>
        <w:t xml:space="preserve"> Die RAK hat die Tatsachengrundlage nicht ausreichend ermittelt. Die Rüge basiert auf dem FIU-Bericht, dem gegenüber Sandhof noch nicht Stellung nehmen konnte.</w:t>
      </w:r>
    </w:p>
    <w:p>
      <w:pPr>
        <w:pStyle w:val="ListNumber"/>
      </w:pPr>
      <w:r>
        <w:rPr>
          <w:b/>
        </w:rPr>
        <w:t>Materielle Verteidigung:</w:t>
      </w:r>
      <w:r>
        <w:t xml:space="preserve"> Die GwG-Verstöße lagen im Bereich der Kanzleiorganisation, nicht in einer persönlichen Pflichtverletzung Sandhofs als Einzelanwalt. Er hat die Transaktionen an Sachbearbeiter delegiert.</w:t>
      </w:r>
    </w:p>
    <w:p>
      <w:pPr>
        <w:pStyle w:val="ListNumber"/>
      </w:pPr>
      <w:r>
        <w:rPr>
          <w:b/>
        </w:rPr>
        <w:t>Verhältnismäßigkeit:</w:t>
      </w:r>
      <w:r>
        <w:t xml:space="preserve"> Die Rüge kommt zu einem Zeitpunkt, zu dem Strafverfahren und Bußgeldverfahren noch laufen. Eine parallele berufsrechtliche Maßnahme ist verfrüht; das Prinzip der Einheit des Verfahrens gebietet Zurückhaltung.</w:t>
      </w:r>
    </w:p>
    <w:p/>
    <w:p>
      <w:pPr>
        <w:pStyle w:val="Heading2"/>
      </w:pPr>
      <w:r>
        <w:rPr>
          <w:rFonts w:ascii="Times New Roman" w:hAnsi="Times New Roman"/>
        </w:rPr>
        <w:t>Besonderheit: Parallelverfahren</w:t>
      </w:r>
    </w:p>
    <w:p>
      <w:pPr>
        <w:jc w:val="left"/>
      </w:pPr>
      <w:r>
        <w:t>Die RAK Hamburg hat zugesagt, über den Widerspruch erst nach Abschluss des Bußgeldverfahrens der BaFin zu entscheiden. Das ist praktisch sinnvoll, da die BaFin-Feststellungen die Tatsachengrundlage des berufsrechtlichen Verfahrens bilden werden. Für die Verteidigung bedeutet das: Ein gutes Ergebnis im BaFin-Verfahren (niedriges Bußgeld, anerkannte Remediation) strahlt positiv auf das RAK-Verfahren aus.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