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 43a BRAO — Sorgfaltspflicht und Doppelrolle Sandhof</w:t>
      </w:r>
    </w:p>
    <w:p>
      <w:pPr>
        <w:jc w:val="left"/>
      </w:pPr>
      <w:r>
        <w:t>Bearbeiter: RA Dr. Henning Quasdorf</w:t>
      </w:r>
    </w:p>
    <w:p>
      <w:pPr>
        <w:jc w:val="left"/>
      </w:pPr>
      <w:r>
        <w:t>Datum: 21. April 2026</w:t>
      </w:r>
    </w:p>
    <w:p/>
    <w:p>
      <w:pPr>
        <w:pStyle w:val="Heading2"/>
      </w:pPr>
      <w:r>
        <w:rPr>
          <w:rFonts w:ascii="Times New Roman" w:hAnsi="Times New Roman"/>
        </w:rPr>
        <w:t>Problemaufriss: Sandhof als Partner und AML-Verantwortlicher</w:t>
      </w:r>
    </w:p>
    <w:p>
      <w:pPr>
        <w:jc w:val="left"/>
      </w:pPr>
      <w:r>
        <w:t>Friedrich-Wilhelm Sandhof ist Seniorpartner der Kanzlei. Er trägt als solcher die organisatorische Gesamtverantwortung. Gleichzeitig war er — nach dem Ausscheiden RA Fischers — faktisch für das AML-Compliance-System verantwortlich, ohne dass diese Verantwortung formell geregelt war. Diese Doppelrolle ist berufsrechtlich und haftungsrechtlich problematisch.</w:t>
      </w:r>
    </w:p>
    <w:p/>
    <w:p>
      <w:pPr>
        <w:pStyle w:val="Heading2"/>
      </w:pPr>
      <w:r>
        <w:rPr>
          <w:rFonts w:ascii="Times New Roman" w:hAnsi="Times New Roman"/>
        </w:rPr>
        <w:t>§ 43a Abs. 1 BRAO — Unabhängigkeit</w:t>
      </w:r>
    </w:p>
    <w:p>
      <w:pPr>
        <w:jc w:val="left"/>
      </w:pPr>
      <w:r>
        <w:t>§ 43a Abs. 1 BRAO verpflichtet Rechtsanwälte, ihre berufliche Unabhängigkeit zu wahren. Ein Anwalt darf sich nicht in eine Abhängigkeit begeben, die es ihm unmöglich macht, seinen Mandanten uneingeschränkt zu vertreten. Im vorliegenden Fall entsteht eine strukturelle Spannung:</w:t>
      </w:r>
    </w:p>
    <w:p>
      <w:pPr>
        <w:jc w:val="left"/>
      </w:pPr>
      <w:r>
        <w:t>Die Kanzlei Sandhof &amp; Partner hat wirtschaftliches Interesse an der Durchführung der Transaktionen (Honorar). Sandhof als AML-Verantwortlicher hätte die Transaktionen stoppen oder zumindest die FIU melden müssen. Der wirtschaftliche Anreiz stand dem AML-Auftrag entgegen.</w:t>
      </w:r>
    </w:p>
    <w:p>
      <w:pPr>
        <w:jc w:val="left"/>
      </w:pPr>
      <w:r>
        <w:t>Ob das eine berufsrechtlich relevante Einschränkung der Unabhängigkeit darstellt, ist streitbar. Die RAK Hamburg deutet in ihrer Rüge an, dass sie diese Spannung als problematisch wertet.</w:t>
      </w:r>
    </w:p>
    <w:p/>
    <w:p>
      <w:pPr>
        <w:pStyle w:val="Heading2"/>
      </w:pPr>
      <w:r>
        <w:rPr>
          <w:rFonts w:ascii="Times New Roman" w:hAnsi="Times New Roman"/>
        </w:rPr>
        <w:t>§ 43a Abs. 4 BRAO — Widerstreitende Interessen</w:t>
      </w:r>
    </w:p>
    <w:p>
      <w:pPr>
        <w:jc w:val="left"/>
      </w:pPr>
      <w:r>
        <w:t>§ 43a Abs. 4 BRAO (und § 3 Abs. 1 BORA) verbietet die gleichzeitige Vertretung widerstreitender Interessen. Im vorliegenden Sachverhalt ist diese Norm nicht direkt einschlägig: Sandhof hat Bluetail Holdings Ltd. vertreten, nicht beide Seiten.</w:t>
      </w:r>
    </w:p>
    <w:p>
      <w:pPr>
        <w:jc w:val="left"/>
      </w:pPr>
      <w:r>
        <w:t>Indirekt entsteht jedoch ein Interessenkonflikt: Als Vertragsanwalt von Bluetail war Sandhof verpflichtet, die Interessen von Bluetail zu vertreten. Als Verpflichteter nach dem GwG war er gegenüber der öffentlichen Ordnung (FIU-Meldepflicht) verpflichtet. Diese Public-Law-Pflicht kann mit der Mandantenvertretung kollidieren — ein spezifisches Problem des GwG, das durch § 43 Abs. 2 GwG nur partiell gelöst wird.</w:t>
      </w:r>
    </w:p>
    <w:p/>
    <w:p>
      <w:pPr>
        <w:pStyle w:val="Heading2"/>
      </w:pPr>
      <w:r>
        <w:rPr>
          <w:rFonts w:ascii="Times New Roman" w:hAnsi="Times New Roman"/>
        </w:rPr>
        <w:t>§ 43 Satz 1 BRAO — Gewissenhafte Berufsausübung</w:t>
      </w:r>
    </w:p>
    <w:p>
      <w:pPr>
        <w:jc w:val="left"/>
      </w:pPr>
      <w:r>
        <w:t>§ 43 Satz 1 BRAO fordert von Rechtsanwälten, ihren Beruf gewissenhaft auszuüben. Der Begriff „gewissenhaft" ist nicht auf das Verhältnis zum Mandanten beschränkt, sondern umfasst auch die Einhaltung gesetzlicher Pflichten im öffentlichen Interesse — wozu die GwG-Pflichten gehören.</w:t>
      </w:r>
    </w:p>
    <w:p>
      <w:pPr>
        <w:jc w:val="left"/>
      </w:pPr>
      <w:r>
        <w:t>Das Versäumnis des KYC, des Sanktionschecks und der FIU-Meldung stellt nach Auffassung der RAK Hamburg eine Verletzung der Pflicht zur gewissenhaften Berufsausübung dar. Dieser Vorwurf hat wenig subjektive Tatbestandsvoraussetzungen: Es genügt das objektive Unterlassen der gebotenen Maßnahmen.</w:t>
      </w:r>
    </w:p>
    <w:p/>
    <w:p>
      <w:pPr>
        <w:pStyle w:val="Heading2"/>
      </w:pPr>
      <w:r>
        <w:rPr>
          <w:rFonts w:ascii="Times New Roman" w:hAnsi="Times New Roman"/>
        </w:rPr>
        <w:t>Berufsrechtliche Besonderheit: Anwaltliche Verschwiegenheit vs. GwG</w:t>
      </w:r>
    </w:p>
    <w:p>
      <w:pPr>
        <w:jc w:val="left"/>
      </w:pPr>
      <w:r>
        <w:t>Das GwG schafft eine spezifische Konfliktlage für Rechtsanwälte: Die anwaltliche Verschwiegenheitspflicht (§ 43a Abs. 2 BRAO, § 203 StGB) steht der FIU-Meldepflicht (§ 43 GwG) entgegen. Das GwG löst diesen Konflikt durch die Privilegierungsregelung in § 43 Abs. 2 GwG — aber nur für echte Rechtsberatung, nicht für rein transaktionale Tätigkeiten.</w:t>
      </w:r>
    </w:p>
    <w:p>
      <w:pPr>
        <w:jc w:val="left"/>
      </w:pPr>
      <w:r>
        <w:t>Die RAK Hamburg teilt die Auffassung, dass Sandhof die anwaltliche Verschwiegenheit nicht als Entschuldigungsgrund für die unterlassene FIU-Meldung heranziehen kann, soweit die Tätigkeiten der Kanzlei rein transaktional waren. Das ist ein substanzieller Einwand gegen die Verteidigungsstrategie.</w:t>
      </w:r>
    </w:p>
    <w:p/>
    <w:p>
      <w:pPr>
        <w:pStyle w:val="Heading2"/>
      </w:pPr>
      <w:r>
        <w:rPr>
          <w:rFonts w:ascii="Times New Roman" w:hAnsi="Times New Roman"/>
        </w:rPr>
        <w:t>Handlungsoptionen Verteidigung</w:t>
      </w:r>
    </w:p>
    <w:p>
      <w:pPr>
        <w:pStyle w:val="Heading3"/>
      </w:pPr>
      <w:r>
        <w:rPr>
          <w:rFonts w:ascii="Times New Roman" w:hAnsi="Times New Roman"/>
        </w:rPr>
        <w:t>Option A: Kooperative Linie</w:t>
      </w:r>
    </w:p>
    <w:p>
      <w:pPr>
        <w:jc w:val="left"/>
      </w:pPr>
      <w:r>
        <w:t>Volle Kooperation mit RAK Hamburg. Darlegung der Remediation-Maßnahmen. Bitte um Aussetzung des berufsrechtlichen Verfahrens bis zum Abschluss des BaFin-Verfahrens (die RAK hat dies bereits zugesagt). Ziel: Abschluss mit Verweis (§ 114 Abs. 1 Nr. 2 BRAO) statt Geldbuße.</w:t>
      </w:r>
    </w:p>
    <w:p>
      <w:pPr>
        <w:pStyle w:val="Heading3"/>
      </w:pPr>
      <w:r>
        <w:rPr>
          <w:rFonts w:ascii="Times New Roman" w:hAnsi="Times New Roman"/>
        </w:rPr>
        <w:t>Option B: Konfrontative Linie</w:t>
      </w:r>
    </w:p>
    <w:p>
      <w:pPr>
        <w:jc w:val="left"/>
      </w:pPr>
      <w:r>
        <w:t>Voller Widerspruch gegen die Rüge. Beantragung der Akteneinsicht in das RAK-Verfahren. Argumentation, dass die Rüge verfrüht und tatsächlich nicht ausreichend fundiert ist. Risiko: Eskalation zum Anwaltsgericht, was öffentlich und kostenintensiver ist.</w:t>
      </w:r>
    </w:p>
    <w:p>
      <w:pPr>
        <w:jc w:val="left"/>
      </w:pPr>
      <w:r>
        <w:t>Empfehlung: Option A. Die kooperative Linie ist hier die strategisch klügere. Die berufsrechtliche Schiene ist sekundär gegenüber dem Strafverfahren. Eine eskalierende Haltung gegenüber der RAK nützt im Strafverfahren wenig und schadet dem Gesamtbild.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