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Anwaltsgeheimnis § 203 StGB vs. GwG-Meldepflicht</w:t>
      </w:r>
    </w:p>
    <w:p>
      <w:pPr>
        <w:jc w:val="left"/>
      </w:pPr>
      <w:r>
        <w:t>Bearbeiter: RA Dr. Henning Quasdorf</w:t>
      </w:r>
    </w:p>
    <w:p>
      <w:pPr>
        <w:jc w:val="left"/>
      </w:pPr>
      <w:r>
        <w:t>Datum: 22. April 2026</w:t>
      </w:r>
    </w:p>
    <w:p/>
    <w:p>
      <w:pPr>
        <w:pStyle w:val="Heading2"/>
      </w:pPr>
      <w:r>
        <w:rPr>
          <w:rFonts w:ascii="Times New Roman" w:hAnsi="Times New Roman"/>
        </w:rPr>
        <w:t>Der Grundkonflikt</w:t>
      </w:r>
    </w:p>
    <w:p>
      <w:pPr>
        <w:jc w:val="left"/>
      </w:pPr>
      <w:r>
        <w:t>Das Anwaltsgeheimnis ist eine der tragenden Säulen der Rechtsordnung. § 203 Abs. 1 Nr. 3 StGB stellt die unbefugte Offenbarung von Privatgeheimnissen durch Rechtsanwälte unter Strafe (Freiheitsstrafe bis zu einem Jahr oder Geldstrafe). § 43a Abs. 2 BRAO normiert die Verschwiegenheitspflicht als Berufspflicht. Das Vertrauensverhältnis zwischen Anwalt und Mandant gilt als schutzwürdig.</w:t>
      </w:r>
    </w:p>
    <w:p>
      <w:pPr>
        <w:jc w:val="left"/>
      </w:pPr>
      <w:r>
        <w:t>Die GwG-Meldepflicht nach § 43 Abs. 1 GwG verlangt demgegenüber, dass der Verpflichtete Informationen über den Mandanten — nämlich Tatsachen, die auf Geldwäsche hindeuten — an eine staatliche Stelle (FIU) meldet. Das ist eine Pflicht zur Weitergabe mandantenbezogener Informationen an Behörden, also grundsätzlich ein Bruch des Anwaltsgeheimnisses.</w:t>
      </w:r>
    </w:p>
    <w:p/>
    <w:p>
      <w:pPr>
        <w:pStyle w:val="Heading2"/>
      </w:pPr>
      <w:r>
        <w:rPr>
          <w:rFonts w:ascii="Times New Roman" w:hAnsi="Times New Roman"/>
        </w:rPr>
        <w:t>Gesetzliche Auflösung: § 43 Abs. 2 GwG</w:t>
      </w:r>
    </w:p>
    <w:p>
      <w:pPr>
        <w:jc w:val="left"/>
      </w:pPr>
      <w:r>
        <w:t>Das GwG hat den Konflikt in § 43 Abs. 2 GwG für Rechtsanwälte und Notare privilegiert aufgelöst:</w:t>
      </w:r>
    </w:p>
    <w:p>
      <w:pPr>
        <w:jc w:val="left"/>
      </w:pPr>
      <w:r>
        <w:t>„Verpflichtete im Sinne des § 2 Abs. 1 Nr. 10 und 12 sind nicht zur Abgabe einer Meldung nach Absatz 1 verpflichtet, soweit sich der meldepflichtige Sachverhalt auf Informationen bezieht, die sie von einem Mandanten erhalten haben oder über einen Mandanten erlangt haben, wenn diese Informationen im Rahmen der Rechtsberatung oder der Rechtsvertretung dieses Mandanten erlangt worden sind. Satz 1 gilt nicht, wenn der Verpflichtete weiß, dass der Mandant die Rechtsberatung oder -vertretung bewusst zum Zweck der Geldwäsche oder der Terrorismusfinanzierung in Anspruch nimmt."</w:t>
      </w:r>
    </w:p>
    <w:p>
      <w:pPr>
        <w:pStyle w:val="Heading3"/>
      </w:pPr>
      <w:r>
        <w:rPr>
          <w:rFonts w:ascii="Times New Roman" w:hAnsi="Times New Roman"/>
        </w:rPr>
        <w:t>Zwei Tatbestandsvoraussetzungen der Privilegierung</w:t>
      </w:r>
    </w:p>
    <w:p>
      <w:pPr>
        <w:pStyle w:val="ListNumber"/>
      </w:pPr>
      <w:r>
        <w:t>Die Information muss im Rahmen der Rechtsberatung oder Rechtsvertretung erlangt worden sein.</w:t>
      </w:r>
    </w:p>
    <w:p>
      <w:pPr>
        <w:pStyle w:val="ListNumber"/>
      </w:pPr>
      <w:r>
        <w:t>Der Anwalt darf nicht wissen, dass der Mandant die Beratung zu Geldwäschezwecken nutzt.</w:t>
      </w:r>
    </w:p>
    <w:p/>
    <w:p>
      <w:pPr>
        <w:pStyle w:val="Heading2"/>
      </w:pPr>
      <w:r>
        <w:rPr>
          <w:rFonts w:ascii="Times New Roman" w:hAnsi="Times New Roman"/>
        </w:rPr>
        <w:t>Anwendung auf den vorliegenden Fall</w:t>
      </w:r>
    </w:p>
    <w:p>
      <w:pPr>
        <w:pStyle w:val="Heading3"/>
      </w:pPr>
      <w:r>
        <w:rPr>
          <w:rFonts w:ascii="Times New Roman" w:hAnsi="Times New Roman"/>
        </w:rPr>
        <w:t>Frage 1: War die Tätigkeit „Rechtsberatung" im Sinne von § 43 Abs. 2 GwG?</w:t>
      </w:r>
    </w:p>
    <w:p>
      <w:pPr>
        <w:jc w:val="left"/>
      </w:pPr>
      <w:r>
        <w:t>Die BaFin und die FIU vertreten die Auffassung, dass die Kaufvertragsbegleitung keine privilegierte Rechtsberatung ist, sondern eine transaktionale Dienstleistung. Sie stützen sich auf die EU-Richtlinien-Begründung (Art. 34 Abs. 2 AMLD IV, Art. 34 Abs. 2 AMLD V), nach der die Privilegierung nur für die eigentliche Beratung gilt, nicht für die Umsetzung von Transaktionen.</w:t>
      </w:r>
    </w:p>
    <w:p>
      <w:pPr>
        <w:jc w:val="left"/>
      </w:pPr>
      <w:r>
        <w:t>Demgegenüber argumentiert die Verteidigung, dass die Kanzlei Sandhof &amp; Partner in allen vier Fällen auch rechtliche Fragen der Vertragsgestaltung (z.B. Belastungen, Grundschulden, Mängel) geklärt hat. Die Trennung zwischen reiner Transaktion und rechtlicher Beratung sei in der Praxis nicht möglich.</w:t>
      </w:r>
    </w:p>
    <w:p>
      <w:pPr>
        <w:jc w:val="left"/>
      </w:pPr>
      <w:r>
        <w:t>Diese Frage ist rechtlich nicht abschließend geklärt. Der EuGH hat in Rs. C-305/05 (Ordre des barreaux francophones et germanophone, 2007) das Grundprinzip der anwaltlichen Privilegierung im Kontext der GwG-Richtlinie bekräftigt, aber keine klare Grenze gezogen.</w:t>
      </w:r>
    </w:p>
    <w:p>
      <w:pPr>
        <w:pStyle w:val="Heading3"/>
      </w:pPr>
      <w:r>
        <w:rPr>
          <w:rFonts w:ascii="Times New Roman" w:hAnsi="Times New Roman"/>
        </w:rPr>
        <w:t>Frage 2: Wissen Sandhofs von der Geldwäsche</w:t>
      </w:r>
    </w:p>
    <w:p>
      <w:pPr>
        <w:jc w:val="left"/>
      </w:pPr>
      <w:r>
        <w:t>Sandhof bestreitet, gewusst zu haben, dass Bluetail Holdings Ltd. die anwaltliche Vertretung zur Geldwäsche nutzte. Wenn dieses Bestreiten trägt, greift die Ausnahme des § 43 Abs. 2 Satz 2 GwG nicht, und die Meldepflicht wäre schon aus § 43 Abs. 2 Satz 1 GwG heraus ausgeschlossen.</w:t>
      </w:r>
    </w:p>
    <w:p>
      <w:pPr>
        <w:jc w:val="left"/>
      </w:pPr>
      <w:r>
        <w:t>Paradox: Wenn die Verteidigung erfolgreich argumentiert, dass Sandhof die Privilegierung des § 43 Abs. 2 GwG genoss, erklärt das das Schweigen gegenüber der FIU — begründet aber gleichzeitig (zumindest) Fahrlässigkeit, da er sich auf die Privilegierung verlassen hat, ohne die notwendigen KYC-Prüfungen durchzuführen.</w:t>
      </w:r>
    </w:p>
    <w:p/>
    <w:p>
      <w:pPr>
        <w:pStyle w:val="Heading2"/>
      </w:pPr>
      <w:r>
        <w:rPr>
          <w:rFonts w:ascii="Times New Roman" w:hAnsi="Times New Roman"/>
        </w:rPr>
        <w:t>§ 203 StGB im Strafverfahren</w:t>
      </w:r>
    </w:p>
    <w:p>
      <w:pPr>
        <w:jc w:val="left"/>
      </w:pPr>
      <w:r>
        <w:t>Im Strafverfahren hat Sandhof als Beschuldigter ein umfassendes Schweigerecht (§ 136 Abs. 1 StPO). Darüber hinaus schützt das Anwaltsgeheimnis die Akten seiner Mandanten. Soweit die StA Kiel auf Kanzleiakten zugreifen will, sind die Beschlagnahmeverbote des § 97 Abs. 1 Nr. 1 StPO zu beachten.</w:t>
      </w:r>
    </w:p>
    <w:p>
      <w:pPr>
        <w:jc w:val="left"/>
      </w:pPr>
      <w:r>
        <w:t>Allerdings: Akten, die nicht zur Rechtsberatung, sondern zur Vorbereitung einer Straftat (z.B. Vertragsunterlagen, die Geldwäsche ermöglichten) geführt wurden, genießen keinen Beschlagnahmeschutz (§ 97 Abs. 2 Satz 3 StPO — Wertlosigkeit des Schutzes bei deliktischer Benutzung). Die StA Kiel hat bereits Durchsuchungsbeschlüsse beantragt; ein Beschluss liegt nach Aktenlage noch nicht vor.</w:t>
      </w:r>
    </w:p>
    <w:p/>
    <w:p>
      <w:pPr>
        <w:pStyle w:val="Heading2"/>
      </w:pPr>
      <w:r>
        <w:rPr>
          <w:rFonts w:ascii="Times New Roman" w:hAnsi="Times New Roman"/>
        </w:rPr>
        <w:t>Fazit</w:t>
      </w:r>
    </w:p>
    <w:p>
      <w:pPr>
        <w:jc w:val="left"/>
      </w:pPr>
      <w:r>
        <w:t>Der Konflikt zwischen Anwaltsgeheimnis und GwG-Meldepflicht ist im vorliegenden Fall nicht mit einem einfachen Verweis auf § 43 Abs. 2 GwG aufgelöst. Die Verteidigung muss differenziert argumentieren:</w:t>
      </w:r>
    </w:p>
    <w:p>
      <w:pPr>
        <w:pStyle w:val="ListBullet"/>
      </w:pPr>
      <w:r>
        <w:t>Für das BaFin-Bußgeldverfahren: Die Privilegierung des § 43 Abs. 2 GwG schützt vor der Meldepflicht, soweit echte Rechtsberatung vorlag.</w:t>
      </w:r>
    </w:p>
    <w:p>
      <w:pPr>
        <w:pStyle w:val="ListBullet"/>
      </w:pPr>
      <w:r>
        <w:t>Für das Strafverfahren: Das Schweigen gegenüber der FIU war berechtigt; das Organisationsverschulden (fehlendes KYC) begründet allenfalls Fahrlässigkeit, keinen Vorsatz.</w:t>
      </w:r>
    </w:p>
    <w:p>
      <w:pPr>
        <w:pStyle w:val="ListBullet"/>
      </w:pPr>
      <w:r>
        <w:t>Für das berufsrechtliche Verfahren: Das Anwaltsgeheimnis entbindet nicht von der Pflicht, mandantenunabhängige interne KYC-Prüfungen durchzuführen.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