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Legal Privilege — § 11 Abs. 1 GwG und Ausnahmen</w:t>
      </w:r>
    </w:p>
    <w:p>
      <w:pPr>
        <w:jc w:val="left"/>
      </w:pPr>
      <w:r>
        <w:t>Bearbeiter: RA Dr. Henning Quasdorf</w:t>
      </w:r>
    </w:p>
    <w:p>
      <w:pPr>
        <w:jc w:val="left"/>
      </w:pPr>
      <w:r>
        <w:t>Datum: 22. April 2026</w:t>
      </w:r>
    </w:p>
    <w:p/>
    <w:p>
      <w:pPr>
        <w:pStyle w:val="Heading2"/>
      </w:pPr>
      <w:r>
        <w:rPr>
          <w:rFonts w:ascii="Times New Roman" w:hAnsi="Times New Roman"/>
        </w:rPr>
        <w:t>Legal Privilege im GwG: Systematik</w:t>
      </w:r>
    </w:p>
    <w:p>
      <w:pPr>
        <w:jc w:val="left"/>
      </w:pPr>
      <w:r>
        <w:t>§ 11 Abs. 1 GwG enthält eine besondere Regelung für Rechtsanwälte und Notare: Die Pflicht zur Identifizierung und Dokumentation (Sorgfaltspflichten nach §§ 10 ff. GwG) gilt für diese Berufsgruppen nur, soweit sie „berufstypische Leistungen" erbringen, die unter die Verpflichteteneigenschaft nach § 2 Abs. 1 Nr. 10 GwG fallen.</w:t>
      </w:r>
    </w:p>
    <w:p>
      <w:pPr>
        <w:jc w:val="left"/>
      </w:pPr>
      <w:r>
        <w:t>Das ist das sogenannte Legal-Privilege-Konzept des deutschen GwG, das die AMLD-Vorgaben (Art. 34 Abs. 2 AMLD IV) umsetzt. Es schützt die anwaltliche Kerntätigkeit der Rechtsberatung vor einer vollständigen GwG-Durchdringung.</w:t>
      </w:r>
    </w:p>
    <w:p/>
    <w:p>
      <w:pPr>
        <w:pStyle w:val="Heading2"/>
      </w:pPr>
      <w:r>
        <w:rPr>
          <w:rFonts w:ascii="Times New Roman" w:hAnsi="Times New Roman"/>
        </w:rPr>
        <w:t>Inhalt des Legal Privilege</w:t>
      </w:r>
    </w:p>
    <w:p>
      <w:pPr>
        <w:jc w:val="left"/>
      </w:pPr>
      <w:r>
        <w:t>Das Legal Privilege im GwG bedeutet:</w:t>
      </w:r>
    </w:p>
    <w:p>
      <w:pPr>
        <w:pStyle w:val="ListNumber"/>
      </w:pPr>
      <w:r>
        <w:t>Bei rein beratender Tätigkeit (Erstellung von Rechtsgutachten, Beratung in Gerichtsverfahren) gelten die GwG-Sorgfaltspflichten nicht.</w:t>
      </w:r>
    </w:p>
    <w:p>
      <w:pPr>
        <w:pStyle w:val="ListNumber"/>
      </w:pPr>
      <w:r>
        <w:t>Bei transaktionaler Tätigkeit (Kaufvertragsbegleitung, Überweisungsabwicklung) gelten die Sorgfaltspflichten vollständig.</w:t>
      </w:r>
    </w:p>
    <w:p>
      <w:pPr>
        <w:pStyle w:val="ListNumber"/>
      </w:pPr>
      <w:r>
        <w:t>Bei gemischter Tätigkeit ist nach dem überwiegenden Charakter der Leistung zu differenzieren.</w:t>
      </w:r>
    </w:p>
    <w:p>
      <w:pPr>
        <w:jc w:val="left"/>
      </w:pPr>
      <w:r>
        <w:t>Der EuGH hat in Rs. C-305/05 (Ordre des barreaux, 2007) festgestellt, dass das Legal Privilege mit den Grundrechten (Art. 7 GRCh — Achtung des Privatlebens) vereinbar ist, soweit es auf beratende Tätigkeiten beschränkt bleibt und transaktionale Tätigkeiten der Meldepflicht unterworfen sind.</w:t>
      </w:r>
    </w:p>
    <w:p/>
    <w:p>
      <w:pPr>
        <w:pStyle w:val="Heading2"/>
      </w:pPr>
      <w:r>
        <w:rPr>
          <w:rFonts w:ascii="Times New Roman" w:hAnsi="Times New Roman"/>
        </w:rPr>
        <w:t>Subsumtion: Was fiel unter Legal Privilege?</w:t>
      </w:r>
    </w:p>
    <w:p>
      <w:pPr>
        <w:jc w:val="left"/>
      </w:pPr>
      <w:r>
        <w:t>Im vorliegenden Fall ist zu unterscheiden:</w:t>
      </w:r>
    </w:p>
    <w:p>
      <w:pPr>
        <w:pStyle w:val="Heading3"/>
      </w:pPr>
      <w:r>
        <w:rPr>
          <w:rFonts w:ascii="Times New Roman" w:hAnsi="Times New Roman"/>
        </w:rPr>
        <w:t>Unterfall A: Vertragsgestaltung und Beratung</w:t>
      </w:r>
    </w:p>
    <w:p>
      <w:pPr>
        <w:jc w:val="left"/>
      </w:pPr>
      <w:r>
        <w:t>Soweit die Kanzlei Sandhof &amp; Partner rechtliche Fragen der Kaufvertragsgestaltung (Haftungsfreistellung, Mängelgewährleistung, grundbuchrechtliche Fragen) geklärt hat, war das privilegierte Rechtsberatung. Die dort erlangten Informationen über den Mandanten (Bluetail Holdings Ltd.) unterliegen dem Anwaltsgeheimnis und sind nach § 43 Abs. 2 GwG nicht meldepflichtig.</w:t>
      </w:r>
    </w:p>
    <w:p>
      <w:pPr>
        <w:pStyle w:val="Heading3"/>
      </w:pPr>
      <w:r>
        <w:rPr>
          <w:rFonts w:ascii="Times New Roman" w:hAnsi="Times New Roman"/>
        </w:rPr>
        <w:t>Unterfall B: Transaktionsabwicklung</w:t>
      </w:r>
    </w:p>
    <w:p>
      <w:pPr>
        <w:jc w:val="left"/>
      </w:pPr>
      <w:r>
        <w:t>Soweit die Kanzlei die Kaufpreiszahlung koordiniert, den Beurkundungstermin organisiert und die Eigentumsübertragung begleitet hat, handelte es sich um transaktionale Tätigkeit ohne privilegierten Charakter. Hier gilt die volle GwG-Pflicht.</w:t>
      </w:r>
    </w:p>
    <w:p>
      <w:pPr>
        <w:pStyle w:val="Heading3"/>
      </w:pPr>
      <w:r>
        <w:rPr>
          <w:rFonts w:ascii="Times New Roman" w:hAnsi="Times New Roman"/>
        </w:rPr>
        <w:t>Befund</w:t>
      </w:r>
    </w:p>
    <w:p>
      <w:pPr>
        <w:jc w:val="left"/>
      </w:pPr>
      <w:r>
        <w:t>In der Praxis ist die Trennung kaum sauber zu ziehen. Die BaFin hat in ihrer Anhörung keine differenzierte Würdigung nach Legal Privilege vorgenommen — sie wertet die gesamte Tätigkeit als transaktional. Das ist angreifbar.</w:t>
      </w:r>
    </w:p>
    <w:p/>
    <w:p>
      <w:pPr>
        <w:pStyle w:val="Heading2"/>
      </w:pPr>
      <w:r>
        <w:rPr>
          <w:rFonts w:ascii="Times New Roman" w:hAnsi="Times New Roman"/>
        </w:rPr>
        <w:t>Angriff auf die BaFin-Position</w:t>
      </w:r>
    </w:p>
    <w:p>
      <w:pPr>
        <w:jc w:val="left"/>
      </w:pPr>
      <w:r>
        <w:t>Die Stellungnahme an die BaFin (bis 30. April 2026) muss die Legal-Privilege-Frage offensiv aufgreifen:</w:t>
      </w:r>
    </w:p>
    <w:p>
      <w:pPr>
        <w:jc w:val="left"/>
      </w:pPr>
      <w:r>
        <w:rPr>
          <w:b/>
        </w:rPr>
        <w:t>Argument 1:</w:t>
      </w:r>
      <w:r>
        <w:t xml:space="preserve"> Die Kanzlei hat nicht nur Kaufverträge abgewickelt, sondern Rechtsberatung erbracht. Das ergibt sich aus den Korrespondenzakten (Analyse von Grundbuchbelastungen, Hinweis auf Mängelansprüche, Korrespondenz mit dem Notar über Beurkundungsvoraussetzungen). Soweit diese Leistungen dem Legal Privilege unterfallen, bestand keine Identifizierungspflicht nach § 11 GwG.</w:t>
      </w:r>
    </w:p>
    <w:p>
      <w:pPr>
        <w:jc w:val="left"/>
      </w:pPr>
      <w:r>
        <w:rPr>
          <w:b/>
        </w:rPr>
        <w:t>Argument 2:</w:t>
      </w:r>
      <w:r>
        <w:t xml:space="preserve"> Die BaFin ist bei der Abgrenzung transaktional/beratend nicht zuständig; diese Frage ist nach dem Recht der Rechtsanwaltschaft (BRAO) zu beurteilen. Die RAK Hamburg hat hierzu keine Äußerung gemacht.</w:t>
      </w:r>
    </w:p>
    <w:p>
      <w:pPr>
        <w:jc w:val="left"/>
      </w:pPr>
      <w:r>
        <w:rPr>
          <w:b/>
        </w:rPr>
        <w:t>Argument 3:</w:t>
      </w:r>
      <w:r>
        <w:t xml:space="preserve"> Die Ausnahme des § 43 Abs. 2 GwG schützt nicht nur die FIU-Meldepflicht, sondern muss im Wege teleologischer Reduktion auch auf die Identifizierungspflicht nach § 11 GwG erstreckt werden, wenn die Information aus privilegierter Beratung stammt. Diese Auffassung ist in der Literatur vertreten (vgl. Zentes/Glaab, GwG, 2. Aufl. 2022, § 43 Rn. 18 ff.).</w:t>
      </w:r>
    </w:p>
    <w:p/>
    <w:p>
      <w:pPr>
        <w:pStyle w:val="Heading2"/>
      </w:pPr>
      <w:r>
        <w:rPr>
          <w:rFonts w:ascii="Times New Roman" w:hAnsi="Times New Roman"/>
        </w:rPr>
        <w:t>Schwäche des Arguments</w:t>
      </w:r>
    </w:p>
    <w:p>
      <w:pPr>
        <w:jc w:val="left"/>
      </w:pPr>
      <w:r>
        <w:t>Das Legal-Privilege-Argument verfängt nicht für die fehlende Risikoanalyse (§ 5 GwG), den fehlenden AML-Officer (§ 7 GwG) und die fehlende Dokumentation (§ 8 GwG): Diese Pflichten sind kanzleiinterne Organisationspflichten und haben keinen Mandantenbezug, der durch Legal Privilege geschützt wäre. Hier hilft das Argument nicht.</w:t>
      </w:r>
    </w:p>
    <w:p>
      <w:pPr>
        <w:jc w:val="left"/>
      </w:pPr>
      <w:r>
        <w:t>Das Legal Privilege kann allenfalls die transaktionsbezogenen KYC-Pflichtverstöße abmildern — nicht die systemischen Organisationsmängel.</w:t>
      </w:r>
    </w:p>
    <w:p/>
    <w:p>
      <w:pPr>
        <w:pStyle w:val="Heading2"/>
      </w:pPr>
      <w:r>
        <w:rPr>
          <w:rFonts w:ascii="Times New Roman" w:hAnsi="Times New Roman"/>
        </w:rPr>
        <w:t>Europarechtliche Perspektive</w:t>
      </w:r>
    </w:p>
    <w:p>
      <w:pPr>
        <w:jc w:val="left"/>
      </w:pPr>
      <w:r>
        <w:t>Die AMLR-Verordnung (Entwurf COM(2021) 420, Trilog-Einigung Dezember 2023) wird das Legal Privilege für Rechtsanwälte in der gesamten EU neu kodifizieren. Nach dem aktuellen Stand des Verordnungsentwurfs ist geplant, die Grenze zwischen privilegierter Beratung und meldepflichtiger Transaktion klarer zu ziehen. Für den vorliegenden Fall gilt noch die AMLD-V-Umsetzung von 2020.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