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Einziehung § 73 StGB und Vermögensarrest</w:t>
      </w:r>
    </w:p>
    <w:p>
      <w:pPr>
        <w:jc w:val="left"/>
      </w:pPr>
      <w:r>
        <w:t>Bearbeiter: RA Dr. Henning Quasdorf</w:t>
      </w:r>
    </w:p>
    <w:p>
      <w:pPr>
        <w:jc w:val="left"/>
      </w:pPr>
      <w:r>
        <w:t>Datum: 23. April 2026</w:t>
      </w:r>
    </w:p>
    <w:p/>
    <w:p>
      <w:pPr>
        <w:pStyle w:val="Heading2"/>
      </w:pPr>
      <w:r>
        <w:rPr>
          <w:rFonts w:ascii="Times New Roman" w:hAnsi="Times New Roman"/>
        </w:rPr>
        <w:t>Einziehungsrecht nach der Reform 2017</w:t>
      </w:r>
    </w:p>
    <w:p>
      <w:pPr>
        <w:jc w:val="left"/>
      </w:pPr>
      <w:r>
        <w:t>Das Einziehungsrecht wurde durch das Gesetz zur Reform der strafrechtlichen Vermögensabschöpfung vom 13. April 2017 (BGBl. I S. 872) grundlegend neu geregelt. Die §§ 73 ff. StGB sehen nun eine weitgehende Einziehung von Taterträgen vor, die nicht mehr an die spezifische Verurteilung des Betroffenen gebunden ist.</w:t>
      </w:r>
    </w:p>
    <w:p>
      <w:pPr>
        <w:jc w:val="left"/>
      </w:pPr>
      <w:r>
        <w:t>§ 73 Abs. 1 StGB: „Hat der Täter oder Teilnehmer durch eine rechtswidrige Tat oder für sie etwas erlangt, so ordnet das Gericht dessen Einziehung an."</w:t>
      </w:r>
    </w:p>
    <w:p>
      <w:pPr>
        <w:jc w:val="left"/>
      </w:pPr>
      <w:r>
        <w:t>§ 73b Abs. 1 StGB: Einziehung beim Drittbegünstigten — wenn ein Dritter das Erlangte unentgeltlich oder ohne rechtlichen Grund erhalten hat.</w:t>
      </w:r>
    </w:p>
    <w:p>
      <w:pPr>
        <w:jc w:val="left"/>
      </w:pPr>
      <w:r>
        <w:t>§ 73c Abs. 1 StGB: Einziehung des Wertersatzes — wenn das ursprüngliche Erlangen nicht mehr vorhanden ist.</w:t>
      </w:r>
    </w:p>
    <w:p/>
    <w:p>
      <w:pPr>
        <w:pStyle w:val="Heading2"/>
      </w:pPr>
      <w:r>
        <w:rPr>
          <w:rFonts w:ascii="Times New Roman" w:hAnsi="Times New Roman"/>
        </w:rPr>
        <w:t>Anwendung auf Smolenski / Bluetail</w:t>
      </w:r>
    </w:p>
    <w:p>
      <w:pPr>
        <w:jc w:val="left"/>
      </w:pPr>
      <w:r>
        <w:t>Die vier Ferienimmobilien auf Amrum sind Gelder, die (nach Vorwurf der StA) aus einer rechtswidrigen Tat (Sanktionsverstoß / Geldwäsche) erlangt wurden. Soweit Smolenski als wirtschaftlich Berechtigter strafrechtlich verfolgt wird, können die Immobilien nach § 73 Abs. 1 StGB eingezogen werden.</w:t>
      </w:r>
    </w:p>
    <w:p>
      <w:pPr>
        <w:jc w:val="left"/>
      </w:pPr>
      <w:r>
        <w:t>Da Smolenski russischer Staatsbürger mit Wohnsitz außerhalb der EU ist, wird das Strafverfahren gegen ihn in Deutschland formal eröffnet, aber de facto nicht durchführbar sein. In solchen Fällen ermöglicht die selbstständige Einziehung nach § 76a Abs. 4 StGB die Vermögensabschöpfung ohne Verurteilung. Voraussetzung: Es muss überwiegend wahrscheinlich sein, dass die Gegenstände aus einer Straftat stammen (§ 76a Abs. 4 Satz 3 StGB i.V.m. § 437 StPO).</w:t>
      </w:r>
    </w:p>
    <w:p/>
    <w:p>
      <w:pPr>
        <w:pStyle w:val="Heading2"/>
      </w:pPr>
      <w:r>
        <w:rPr>
          <w:rFonts w:ascii="Times New Roman" w:hAnsi="Times New Roman"/>
        </w:rPr>
        <w:t>Möglicher Arrest gegen die Kanzlei Sandhof &amp; Partner</w:t>
      </w:r>
    </w:p>
    <w:p>
      <w:pPr>
        <w:jc w:val="left"/>
      </w:pPr>
      <w:r>
        <w:t>Wenn gegen Sandhof persönlich wegen Beteiligung an der Geldwäsche verurteilt wird, kommt eine Einziehung seiner Taterlöse in Betracht. Was hat Sandhof „erlangt"? Primär das Anwaltshonorar.</w:t>
      </w:r>
    </w:p>
    <w:p>
      <w:pPr>
        <w:jc w:val="left"/>
      </w:pPr>
      <w:r>
        <w:t>Nach Aktenlage hat die Kanzlei folgende Honorare aus den vier Transaktionen erhalten: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Transaktion</w:t>
            </w:r>
          </w:p>
        </w:tc>
        <w:tc>
          <w:tcPr>
            <w:tcW w:type="dxa" w:w="4536"/>
          </w:tcPr>
          <w:p>
            <w:r>
              <w:rPr>
                <w:rFonts w:ascii="Times New Roman" w:hAnsi="Times New Roman"/>
                <w:b/>
                <w:sz w:val="20"/>
              </w:rPr>
              <w:t>Honorar (geschätzt, unklar)</w:t>
            </w:r>
          </w:p>
        </w:tc>
      </w:tr>
      <w:tr>
        <w:tc>
          <w:tcPr>
            <w:tcW w:type="dxa" w:w="4536"/>
          </w:tcPr>
          <w:p>
            <w:r>
              <w:rPr>
                <w:rFonts w:ascii="Times New Roman" w:hAnsi="Times New Roman"/>
                <w:sz w:val="20"/>
              </w:rPr>
              <w:t>Norddorf 06/2024</w:t>
            </w:r>
          </w:p>
        </w:tc>
        <w:tc>
          <w:tcPr>
            <w:tcW w:type="dxa" w:w="4536"/>
          </w:tcPr>
          <w:p>
            <w:r>
              <w:rPr>
                <w:rFonts w:ascii="Times New Roman" w:hAnsi="Times New Roman"/>
                <w:sz w:val="20"/>
              </w:rPr>
              <w:t>ca. 12.000 EUR</w:t>
            </w:r>
          </w:p>
        </w:tc>
      </w:tr>
      <w:tr>
        <w:tc>
          <w:tcPr>
            <w:tcW w:type="dxa" w:w="4536"/>
          </w:tcPr>
          <w:p>
            <w:r>
              <w:rPr>
                <w:rFonts w:ascii="Times New Roman" w:hAnsi="Times New Roman"/>
                <w:sz w:val="20"/>
              </w:rPr>
              <w:t>Nebel 09/2024</w:t>
            </w:r>
          </w:p>
        </w:tc>
        <w:tc>
          <w:tcPr>
            <w:tcW w:type="dxa" w:w="4536"/>
          </w:tcPr>
          <w:p>
            <w:r>
              <w:rPr>
                <w:rFonts w:ascii="Times New Roman" w:hAnsi="Times New Roman"/>
                <w:sz w:val="20"/>
              </w:rPr>
              <w:t>ca. 9.500 EUR</w:t>
            </w:r>
          </w:p>
        </w:tc>
      </w:tr>
      <w:tr>
        <w:tc>
          <w:tcPr>
            <w:tcW w:type="dxa" w:w="4536"/>
          </w:tcPr>
          <w:p>
            <w:r>
              <w:rPr>
                <w:rFonts w:ascii="Times New Roman" w:hAnsi="Times New Roman"/>
                <w:sz w:val="20"/>
              </w:rPr>
              <w:t>Wittdün 11/2024</w:t>
            </w:r>
          </w:p>
        </w:tc>
        <w:tc>
          <w:tcPr>
            <w:tcW w:type="dxa" w:w="4536"/>
          </w:tcPr>
          <w:p>
            <w:r>
              <w:rPr>
                <w:rFonts w:ascii="Times New Roman" w:hAnsi="Times New Roman"/>
                <w:sz w:val="20"/>
              </w:rPr>
              <w:t>ca. 14.000 EUR</w:t>
            </w:r>
          </w:p>
        </w:tc>
      </w:tr>
      <w:tr>
        <w:tc>
          <w:tcPr>
            <w:tcW w:type="dxa" w:w="4536"/>
          </w:tcPr>
          <w:p>
            <w:r>
              <w:rPr>
                <w:rFonts w:ascii="Times New Roman" w:hAnsi="Times New Roman"/>
                <w:sz w:val="20"/>
              </w:rPr>
              <w:t>Norddorf 02/2025</w:t>
            </w:r>
          </w:p>
        </w:tc>
        <w:tc>
          <w:tcPr>
            <w:tcW w:type="dxa" w:w="4536"/>
          </w:tcPr>
          <w:p>
            <w:r>
              <w:rPr>
                <w:rFonts w:ascii="Times New Roman" w:hAnsi="Times New Roman"/>
                <w:sz w:val="20"/>
              </w:rPr>
              <w:t>ca. 8.500 EUR</w:t>
            </w:r>
          </w:p>
        </w:tc>
      </w:tr>
      <w:tr>
        <w:tc>
          <w:tcPr>
            <w:tcW w:type="dxa" w:w="4536"/>
          </w:tcPr>
          <w:p>
            <w:r>
              <w:rPr>
                <w:rFonts w:ascii="Times New Roman" w:hAnsi="Times New Roman"/>
                <w:b/>
                <w:sz w:val="20"/>
              </w:rPr>
              <w:t>Gesamt</w:t>
            </w:r>
          </w:p>
        </w:tc>
        <w:tc>
          <w:tcPr>
            <w:tcW w:type="dxa" w:w="4536"/>
          </w:tcPr>
          <w:p>
            <w:r>
              <w:rPr>
                <w:rFonts w:ascii="Times New Roman" w:hAnsi="Times New Roman"/>
                <w:b/>
                <w:sz w:val="20"/>
              </w:rPr>
              <w:t>ca. 44.000 EUR</w:t>
            </w:r>
          </w:p>
        </w:tc>
      </w:tr>
    </w:tbl>
    <w:p>
      <w:pPr>
        <w:jc w:val="left"/>
      </w:pPr>
      <w:r>
        <w:t>Die genauen Honorarzahlen sind noch nicht geprüft; die Originalrechnungen wurden angefordert. Im Einziehungsverfahren kann das Gericht nur die tatsächlich erzielten Honorare einziehen, nicht rechnerisch unterstellte Beträge.</w:t>
      </w:r>
    </w:p>
    <w:p>
      <w:pPr>
        <w:jc w:val="left"/>
      </w:pPr>
      <w:r>
        <w:t>Präventiver Vermögensarrest (§ 111e StPO): Zur Sicherung der Einziehung kann die StA bereits im Ermittlungsverfahren einen dinglichen Arrest in das Vermögen der Kanzlei (oder Sandhofs persönlich) beantragen. Dies ist derzeit noch nicht erfolgt, erscheint aber möglich, wenn die StA den Tatverdacht weiter erhärtet.</w:t>
      </w:r>
    </w:p>
    <w:p/>
    <w:p>
      <w:pPr>
        <w:pStyle w:val="Heading2"/>
      </w:pPr>
      <w:r>
        <w:rPr>
          <w:rFonts w:ascii="Times New Roman" w:hAnsi="Times New Roman"/>
        </w:rPr>
        <w:t>Verteidigungsmaßnahmen gegen Einziehung</w:t>
      </w:r>
    </w:p>
    <w:p>
      <w:pPr>
        <w:pStyle w:val="Heading3"/>
      </w:pPr>
      <w:r>
        <w:rPr>
          <w:rFonts w:ascii="Times New Roman" w:hAnsi="Times New Roman"/>
        </w:rPr>
        <w:t>Argument 1: Gutgläubiger Erwerb</w:t>
      </w:r>
    </w:p>
    <w:p>
      <w:pPr>
        <w:jc w:val="left"/>
      </w:pPr>
      <w:r>
        <w:t>§ 73b Abs. 2 StGB enthält eine Ausnahme für gutgläubigen Erwerb: Wenn der Dritte das Erlangte in gutem Glauben und ohne Kenntnis der Straftat erworben hat, kann die Einziehung unterbleiben. Sandhof bestreitet Kenntnis.</w:t>
      </w:r>
    </w:p>
    <w:p>
      <w:pPr>
        <w:jc w:val="left"/>
      </w:pPr>
      <w:r>
        <w:t>Für die Einziehung des Honorars als Tatertrags des Anwalts greift diese Ausnahme nicht, da Sandhof selbst Beschuldigter ist. Wohl aber könnte sie für Ansprüche der Kanzlei als Gesellschaft (Partnerschaftsgesellschaft) relevant sein.</w:t>
      </w:r>
    </w:p>
    <w:p>
      <w:pPr>
        <w:pStyle w:val="Heading3"/>
      </w:pPr>
      <w:r>
        <w:rPr>
          <w:rFonts w:ascii="Times New Roman" w:hAnsi="Times New Roman"/>
        </w:rPr>
        <w:t>Argument 2: Unverhältnismäßigkeit</w:t>
      </w:r>
    </w:p>
    <w:p>
      <w:pPr>
        <w:jc w:val="left"/>
      </w:pPr>
      <w:r>
        <w:t>Das Gericht kann nach § 73e Abs. 1 StGB von der Einziehung absehen, wenn diese unverhältnismäßig wäre. Ein Honorar von rund 44.000 EUR, das für echte anwaltliche Leistungen erzielt wurde, steht in keinem Verhältnis zum Gesamtschaden (4,54 Mio. EUR Transaktionsvolumen). Diese Argumentation hat praktische Chancen.</w:t>
      </w:r>
    </w:p>
    <w:p>
      <w:pPr>
        <w:pStyle w:val="Heading3"/>
      </w:pPr>
      <w:r>
        <w:rPr>
          <w:rFonts w:ascii="Times New Roman" w:hAnsi="Times New Roman"/>
        </w:rPr>
        <w:t>Argument 3: Treuepflicht und Anwaltshonorar</w:t>
      </w:r>
    </w:p>
    <w:p>
      <w:pPr>
        <w:jc w:val="left"/>
      </w:pPr>
      <w:r>
        <w:t>Das Anwaltshonorar hat eine Sonderstellung: Es wird für eine Dienstleistung (Rechtsberatung) gezahlt und ist kein ungerechtfertigter Vermögensvorteil im Sinne der Einziehungslogik. Die Verteidigung wird auf das berechtigte Vertrauen in die Rechtmäßigkeit der Dienstleistung abheben.</w:t>
      </w:r>
    </w:p>
    <w:p/>
    <w:p>
      <w:pPr>
        <w:pStyle w:val="Heading2"/>
      </w:pPr>
      <w:r>
        <w:rPr>
          <w:rFonts w:ascii="Times New Roman" w:hAnsi="Times New Roman"/>
        </w:rPr>
        <w:t>Anmerkung: Vermögensstatus Sandhof</w:t>
      </w:r>
    </w:p>
    <w:p>
      <w:pPr>
        <w:jc w:val="left"/>
      </w:pPr>
      <w:r>
        <w:t>Sandhof hat nach eigenen Angaben ein Nettovermögen von ca. 1,8 Mio. EUR (Immobilien, Rentenansprüche, Kapitalanlagen). Ein etwaiger Arrest würde ihn persönlich finanziell erheblich belasten, ohne aber seine wirtschaftliche Existenz zu vernichten. Die Partnerschaftsgesellschaft hat einen höheren Wert; die persönliche Haftung Sandhofs als Partner hängt von der Ausgestaltung des Partnerschaftsvertrages ab (§§ 8, 9 PartGG).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