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Berufshaftpflichtversicherung — AML-Klausel und Deckungsfrage</w:t>
      </w:r>
    </w:p>
    <w:p>
      <w:pPr>
        <w:jc w:val="left"/>
      </w:pPr>
      <w:r>
        <w:t>Bearbeiter: RAin Dr. Johanna Reimers</w:t>
      </w:r>
    </w:p>
    <w:p>
      <w:pPr>
        <w:jc w:val="left"/>
      </w:pPr>
      <w:r>
        <w:t>Datum: 23. April 2026</w:t>
      </w:r>
    </w:p>
    <w:p/>
    <w:p>
      <w:pPr>
        <w:pStyle w:val="Heading2"/>
      </w:pPr>
      <w:r>
        <w:rPr>
          <w:rFonts w:ascii="Times New Roman" w:hAnsi="Times New Roman"/>
        </w:rPr>
        <w:t>Berufshaftpflicht für Rechtsanwälte</w:t>
      </w:r>
    </w:p>
    <w:p>
      <w:pPr>
        <w:jc w:val="left"/>
      </w:pPr>
      <w:r>
        <w:t>§ 51 BRAO verpflichtet Rechtsanwälte zur Unterhaltung einer Berufshaftpflichtversicherung. Die Mindestversicherungssumme beträgt 250.000 EUR pro Schadensfall (§ 51 Abs. 4 BRAO). Viele Kanzleien unterhalten deutlich höhere Deckungssummen.</w:t>
      </w:r>
    </w:p>
    <w:p>
      <w:pPr>
        <w:jc w:val="left"/>
      </w:pPr>
      <w:r>
        <w:t>Die Kanzlei Sandhof &amp; Partner ist bei der HDI Versicherung AG, Hannover, versichert (Police Nr. HDI-RA-22046-SH, Jahresinkasso 18.400 EUR). Die Deckungssumme beträgt 3.000.000 EUR pro Schadensfall, 6.000.000 EUR maximiert pro Jahr. Die Police enthält eine gesonderte AML-Klausel (Nachtrag vom 15. Januar 2023).</w:t>
      </w:r>
    </w:p>
    <w:p/>
    <w:p>
      <w:pPr>
        <w:pStyle w:val="Heading2"/>
      </w:pPr>
      <w:r>
        <w:rPr>
          <w:rFonts w:ascii="Times New Roman" w:hAnsi="Times New Roman"/>
        </w:rPr>
        <w:t>Inhalt der AML-Klausel (Nachtrag 2023)</w:t>
      </w:r>
    </w:p>
    <w:p>
      <w:pPr>
        <w:jc w:val="left"/>
      </w:pPr>
      <w:r>
        <w:t>Die AML-Klausel (Anlage zur Police, Bl. 3–5) schließt aus der Deckung aus:</w:t>
      </w:r>
    </w:p>
    <w:p>
      <w:pPr>
        <w:ind w:left="567"/>
      </w:pPr>
      <w:r>
        <w:rPr>
          <w:i/>
        </w:rPr>
        <w:t>„Schäden, die daraus entstehen, dass der Versicherungsnehmer oder seine Mitarbeiter wissentlich gegen Vorschriften des Geldwäschegesetzes (GwG) verstoßen haben oder wissentlich an Transaktionen mitgewirkt haben, die der Geldwäsche dienen."</w:t>
      </w:r>
    </w:p>
    <w:p>
      <w:pPr>
        <w:jc w:val="left"/>
      </w:pPr>
      <w:r>
        <w:t>Weiter enthält die Klausel einen Vorbehalt:</w:t>
      </w:r>
    </w:p>
    <w:p>
      <w:pPr>
        <w:ind w:left="567"/>
      </w:pPr>
      <w:r>
        <w:rPr>
          <w:i/>
        </w:rPr>
        <w:t>„Bei fahrlässigen Verstößen gegen GwG-Pflichten besteht Deckung im Rahmen der allgemeinen Versicherungsbedingungen; ausgenommen bleiben Bußgelder und Geldstrafen."</w:t>
      </w:r>
    </w:p>
    <w:p/>
    <w:p>
      <w:pPr>
        <w:pStyle w:val="Heading2"/>
      </w:pPr>
      <w:r>
        <w:rPr>
          <w:rFonts w:ascii="Times New Roman" w:hAnsi="Times New Roman"/>
        </w:rPr>
        <w:t>Deckungsfrage für den vorliegenden Sachverhalt</w:t>
      </w:r>
    </w:p>
    <w:p>
      <w:pPr>
        <w:pStyle w:val="Heading3"/>
      </w:pPr>
      <w:r>
        <w:rPr>
          <w:rFonts w:ascii="Times New Roman" w:hAnsi="Times New Roman"/>
        </w:rPr>
        <w:t>Szenario 1: Sandhof wird wegen Vorsatz verurteilt (§ 261 StGB)</w:t>
      </w:r>
    </w:p>
    <w:p>
      <w:pPr>
        <w:jc w:val="left"/>
      </w:pPr>
      <w:r>
        <w:t>Wenn das Strafverfahren mit einer Verurteilung wegen vorsätzlicher Geldwäsche endet, greift die AML-Ausschlussklausel (wissentlicher Verstoß). Die HDI wäre in diesem Fall nicht deckungspflichtig für:</w:t>
      </w:r>
    </w:p>
    <w:p>
      <w:pPr>
        <w:pStyle w:val="ListBullet"/>
      </w:pPr>
      <w:r>
        <w:t>Anwaltskosten der Verteidigung (sofern nicht gesonderter Strafrechtsschutz)</w:t>
      </w:r>
    </w:p>
    <w:p>
      <w:pPr>
        <w:pStyle w:val="ListBullet"/>
      </w:pPr>
      <w:r>
        <w:t>Etwaige Schadensersatzansprüche Dritter aus dem GwG-Verstoß</w:t>
      </w:r>
    </w:p>
    <w:p>
      <w:pPr>
        <w:pStyle w:val="Heading3"/>
      </w:pPr>
      <w:r>
        <w:rPr>
          <w:rFonts w:ascii="Times New Roman" w:hAnsi="Times New Roman"/>
        </w:rPr>
        <w:t>Szenario 2: Nur Fahrlässigkeit nachweisbar (§ 261 Abs. 6 StGB / § 17 GwG)</w:t>
      </w:r>
    </w:p>
    <w:p>
      <w:pPr>
        <w:jc w:val="left"/>
      </w:pPr>
      <w:r>
        <w:t>Bei fahrlässigem Verstoß besteht nach dem Wortlaut der Klausel Deckung für Schadensersatzansprüche Dritter, die aus dem GwG-Verstoß entstehen. Das könnten sein:</w:t>
      </w:r>
    </w:p>
    <w:p>
      <w:pPr>
        <w:pStyle w:val="ListBullet"/>
      </w:pPr>
      <w:r>
        <w:t>Schadensersatzforderungen des Notars Petersen &amp; Clasen (der möglicherweise Regressansprüche hat, weil er durch die Kanzlei nicht über den UBO informiert wurde)</w:t>
      </w:r>
    </w:p>
    <w:p>
      <w:pPr>
        <w:pStyle w:val="ListBullet"/>
      </w:pPr>
      <w:r>
        <w:t>Staatliche Regressansprüche (theoretisch, aber selten)</w:t>
      </w:r>
    </w:p>
    <w:p>
      <w:pPr>
        <w:jc w:val="left"/>
      </w:pPr>
      <w:r>
        <w:t>Nicht gedeckt sind in jedem Fall: Bußgelder nach § 56 GwG und § 23 SanktDG — das ist bei Versicherungen von Verwaltungsbußgeldern standardmäßig ausgeschlossen (§ 102 Abs. 2 VVG analog).</w:t>
      </w:r>
    </w:p>
    <w:p>
      <w:pPr>
        <w:pStyle w:val="Heading3"/>
      </w:pPr>
      <w:r>
        <w:rPr>
          <w:rFonts w:ascii="Times New Roman" w:hAnsi="Times New Roman"/>
        </w:rPr>
        <w:t>Szenario 3: Schadensersatzklage von Bluetail Holdings Ltd.</w:t>
      </w:r>
    </w:p>
    <w:p>
      <w:pPr>
        <w:jc w:val="left"/>
      </w:pPr>
      <w:r>
        <w:t>Eine Klage von Bluetail Holdings Ltd. gegen Sandhof &amp; Partner wegen schlechter Rechtsberatung (Nichtaufdeckung des Sanktionsrisikos) würde grundsätzlich unter den allgemeinen Haftpflichtschutz fallen. Die HDI würde in diesem Fall Deckungsschutz gewähren — es sei denn, der Nachweis wissentlichen Verstoßes gelingt.</w:t>
      </w:r>
    </w:p>
    <w:p>
      <w:pPr>
        <w:jc w:val="left"/>
      </w:pPr>
      <w:r>
        <w:t>Praktisch erscheint eine solche Klage derzeit unrealistisch (Sanktionslage, CY-Gesellschaft).</w:t>
      </w:r>
    </w:p>
    <w:p/>
    <w:p>
      <w:pPr>
        <w:pStyle w:val="Heading2"/>
      </w:pPr>
      <w:r>
        <w:rPr>
          <w:rFonts w:ascii="Times New Roman" w:hAnsi="Times New Roman"/>
        </w:rPr>
        <w:t>Strafrechtsschutz</w:t>
      </w:r>
    </w:p>
    <w:p>
      <w:pPr>
        <w:jc w:val="left"/>
      </w:pPr>
      <w:r>
        <w:t>Die Police enthält nach Aktenlage keinen gesonderten Strafrechtsschutz-Baustein (Straf-Rechtsschutzversicherung). Sandhof finanziert die Strafverteidigung durch Quasdorf &amp; Reimers derzeit aus eigenen Mitteln. Er hat bei seiner eigenen Rechtsschutzversicherung (ARAG, Police ARAG-RS-09921-SNH) Deckungsschutz für das Strafverfahren beantragt.</w:t>
      </w:r>
    </w:p>
    <w:p>
      <w:pPr>
        <w:jc w:val="left"/>
      </w:pPr>
      <w:r>
        <w:t>Die ARAG hat mit Schreiben vom 03. April 2026 mitgeteilt, dass Strafverfahren wegen vorsätzlicher Straftaten vom Rechtsschutz ausgeschlossen sind (§ 3 Abs. 1 ARAG-RSB), aber für die Dauer der Verteidigung bis zu einer rechtskräftigen Verurteilung wegen einer vorsätzlichen Straftat Deckungsschutz besteht. Damit ist die Verteidigung zunächst gedeckt.</w:t>
      </w:r>
    </w:p>
    <w:p/>
    <w:p>
      <w:pPr>
        <w:pStyle w:val="Heading2"/>
      </w:pPr>
      <w:r>
        <w:rPr>
          <w:rFonts w:ascii="Times New Roman" w:hAnsi="Times New Roman"/>
        </w:rPr>
        <w:t>Handlungsempfehlung</w:t>
      </w:r>
    </w:p>
    <w:p>
      <w:pPr>
        <w:jc w:val="left"/>
      </w:pPr>
      <w:r>
        <w:t>Die HDI Versicherung ist umgehend über den Sachverhalt zu informieren (Schadensmeldung). Eine verspätete Meldung kann die Deckung gefährden (§ 82 VVG). Eine frühe Einbindung des Versicherers ermöglicht es zudem, die Deckungsfrage frühzeitig zu klären und zu verhindern, dass der Versicherer später die Wissentlichkeit behauptet.</w:t>
      </w:r>
    </w:p>
    <w:p>
      <w:pPr>
        <w:jc w:val="left"/>
      </w:pPr>
      <w:r>
        <w:t>Eine gesonderte Strafrechtsschutzversicherung für die Zukunft sollte in die Compliance-Roadmap aufgenommen werden.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