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Compliance-Programm und Remediation-Roadmap</w:t>
      </w:r>
    </w:p>
    <w:p>
      <w:pPr>
        <w:jc w:val="left"/>
      </w:pPr>
      <w:r>
        <w:t>Bearbeiter: RAin Dr. Johanna Reimers / RA Dr. Henning Quasdorf</w:t>
      </w:r>
    </w:p>
    <w:p>
      <w:pPr>
        <w:jc w:val="left"/>
      </w:pPr>
      <w:r>
        <w:t>Datum: 24. April 2026</w:t>
      </w:r>
    </w:p>
    <w:p/>
    <w:p>
      <w:pPr>
        <w:pStyle w:val="Heading2"/>
      </w:pPr>
      <w:r>
        <w:rPr>
          <w:rFonts w:ascii="Times New Roman" w:hAnsi="Times New Roman"/>
        </w:rPr>
        <w:t>Ausgangslage</w:t>
      </w:r>
    </w:p>
    <w:p>
      <w:pPr>
        <w:jc w:val="left"/>
      </w:pPr>
      <w:r>
        <w:t>Die Kanzlei Sandhof &amp; Partner weist erhebliche Lücken in ihrem AML-Compliance-System auf. Die gleichzeitig laufenden Verfahren (Straf-, Bußgeld-, Berufsrechtssache) machen eine umgehende und nachweisbare Remediation erforderlich. Der Grundsatz der Verhältnismäßigkeit im Bußgeldrecht und im Berufsrecht begünstigt Verpflichtete, die proaktiv Abhilfemaßnahmen ergreifen.</w:t>
      </w:r>
    </w:p>
    <w:p>
      <w:pPr>
        <w:jc w:val="left"/>
      </w:pPr>
      <w:r>
        <w:t>Die Roadmap ist so strukturiert, dass die dringendsten Maßnahmen vor der BaFin-Stellungnahme (30. April 2026) abgeschlossen sind; der Rest innerhalb von 90 Tagen.</w:t>
      </w:r>
    </w:p>
    <w:p/>
    <w:p>
      <w:pPr>
        <w:pStyle w:val="Heading2"/>
      </w:pPr>
      <w:r>
        <w:rPr>
          <w:rFonts w:ascii="Times New Roman" w:hAnsi="Times New Roman"/>
        </w:rPr>
        <w:t>Sofortmaßnahmen (bis 30. April 2026)</w:t>
      </w:r>
    </w:p>
    <w:p>
      <w:pPr>
        <w:pStyle w:val="Heading3"/>
      </w:pPr>
      <w:r>
        <w:rPr>
          <w:rFonts w:ascii="Times New Roman" w:hAnsi="Times New Roman"/>
        </w:rPr>
        <w:t>Maßnahme 1: Bestellung eines neuen AML-Officers</w:t>
      </w:r>
    </w:p>
    <w:p>
      <w:pPr>
        <w:jc w:val="left"/>
      </w:pPr>
      <w:r>
        <w:rPr>
          <w:b/>
        </w:rPr>
        <w:t>Wer:</w:t>
      </w:r>
      <w:r>
        <w:t xml:space="preserve"> RAin Dr. Petra Brünninghausen (Partnerin, kein Sachbearbeitungsbezug zu den Amrum-Transaktionen)</w:t>
      </w:r>
    </w:p>
    <w:p>
      <w:pPr>
        <w:jc w:val="left"/>
      </w:pPr>
      <w:r>
        <w:rPr>
          <w:b/>
        </w:rPr>
        <w:t>Form:</w:t>
      </w:r>
      <w:r>
        <w:t xml:space="preserve"> Formelle Bestellungsurkunde und Meldung an die RAK Hamburg</w:t>
      </w:r>
    </w:p>
    <w:p>
      <w:pPr>
        <w:jc w:val="left"/>
      </w:pPr>
      <w:r>
        <w:rPr>
          <w:b/>
        </w:rPr>
        <w:t>Status:</w:t>
      </w:r>
      <w:r>
        <w:t xml:space="preserve"> In Vorbereitung; Vollmacht liegt zur Unterschrift vor</w:t>
      </w:r>
    </w:p>
    <w:p>
      <w:pPr>
        <w:pStyle w:val="Heading3"/>
      </w:pPr>
      <w:r>
        <w:rPr>
          <w:rFonts w:ascii="Times New Roman" w:hAnsi="Times New Roman"/>
        </w:rPr>
        <w:t>Maßnahme 2: Einführung eines Sanktionsscreening-Tools</w:t>
      </w:r>
    </w:p>
    <w:p>
      <w:pPr>
        <w:jc w:val="left"/>
      </w:pPr>
      <w:r>
        <w:rPr>
          <w:b/>
        </w:rPr>
        <w:t>Tool:</w:t>
      </w:r>
      <w:r>
        <w:t xml:space="preserve"> LexisNexis World Compliance (SaaS-Lösung, ca. 8.500 EUR/Jahr)</w:t>
      </w:r>
    </w:p>
    <w:p>
      <w:pPr>
        <w:jc w:val="left"/>
      </w:pPr>
      <w:r>
        <w:rPr>
          <w:b/>
        </w:rPr>
        <w:t>Beschreibung:</w:t>
      </w:r>
      <w:r>
        <w:t xml:space="preserve"> Automatisches Screening gegen alle relevanten Sanktionslisten (UN, EU, US OFAC) für jeden Neukontakt und jede Transaktion</w:t>
      </w:r>
    </w:p>
    <w:p>
      <w:pPr>
        <w:jc w:val="left"/>
      </w:pPr>
      <w:r>
        <w:rPr>
          <w:b/>
        </w:rPr>
        <w:t>Status:</w:t>
      </w:r>
      <w:r>
        <w:t xml:space="preserve"> Angebot liegt vor; Vertragsabschluss für 28. April 2026 geplant</w:t>
      </w:r>
    </w:p>
    <w:p>
      <w:pPr>
        <w:pStyle w:val="Heading3"/>
      </w:pPr>
      <w:r>
        <w:rPr>
          <w:rFonts w:ascii="Times New Roman" w:hAnsi="Times New Roman"/>
        </w:rPr>
        <w:t>Maßnahme 3: Notfall-KYC-Checkliste</w:t>
      </w:r>
    </w:p>
    <w:p>
      <w:pPr>
        <w:jc w:val="left"/>
      </w:pPr>
      <w:r>
        <w:rPr>
          <w:b/>
        </w:rPr>
        <w:t>Inhalt:</w:t>
      </w:r>
      <w:r>
        <w:t xml:space="preserve"> Einheitliche KYC-Checkliste für Immobilientransaktionen mit Pflichtfeldern für Vertragspartner und UBO-Identifizierung</w:t>
      </w:r>
    </w:p>
    <w:p>
      <w:pPr>
        <w:jc w:val="left"/>
      </w:pPr>
      <w:r>
        <w:rPr>
          <w:b/>
        </w:rPr>
        <w:t>Verteiler:</w:t>
      </w:r>
      <w:r>
        <w:t xml:space="preserve"> Alle 22 Anwälte und Sachbearbeiter per E-Mail mit Lesebestätigung</w:t>
      </w:r>
    </w:p>
    <w:p>
      <w:pPr>
        <w:jc w:val="left"/>
      </w:pPr>
      <w:r>
        <w:rPr>
          <w:b/>
        </w:rPr>
        <w:t>Status:</w:t>
      </w:r>
      <w:r>
        <w:t xml:space="preserve"> Entwurf fertig; Freigabe durch Sandhof ausstehend</w:t>
      </w:r>
    </w:p>
    <w:p/>
    <w:p>
      <w:pPr>
        <w:pStyle w:val="Heading2"/>
      </w:pPr>
      <w:r>
        <w:rPr>
          <w:rFonts w:ascii="Times New Roman" w:hAnsi="Times New Roman"/>
        </w:rPr>
        <w:t>Kurzfristige Maßnahmen (bis 30. Juni 2026)</w:t>
      </w:r>
    </w:p>
    <w:p>
      <w:pPr>
        <w:pStyle w:val="Heading3"/>
      </w:pPr>
      <w:r>
        <w:rPr>
          <w:rFonts w:ascii="Times New Roman" w:hAnsi="Times New Roman"/>
        </w:rPr>
        <w:t>Maßnahme 4: Neue Risikoanalyse § 5 GwG</w:t>
      </w:r>
    </w:p>
    <w:p>
      <w:pPr>
        <w:jc w:val="left"/>
      </w:pPr>
      <w:r>
        <w:rPr>
          <w:b/>
        </w:rPr>
        <w:t>Umfang:</w:t>
      </w:r>
      <w:r>
        <w:t xml:space="preserve"> Vollständige Risikoanalyse nach aktuellem GwG-Stand (AMLD V, NRA 2023), mit spezifischen Risikofeldern für:</w:t>
      </w:r>
    </w:p>
    <w:p>
      <w:pPr>
        <w:pStyle w:val="ListBullet"/>
      </w:pPr>
      <w:r>
        <w:t>Offshore-Gesellschaften als Käufer</w:t>
      </w:r>
    </w:p>
    <w:p>
      <w:pPr>
        <w:pStyle w:val="ListBullet"/>
      </w:pPr>
      <w:r>
        <w:t>Russische und belarussische wirtschaftlich Berechtigte</w:t>
      </w:r>
    </w:p>
    <w:p>
      <w:pPr>
        <w:pStyle w:val="ListBullet"/>
      </w:pPr>
      <w:r>
        <w:t>Hochpreisige Ferienimmobilien in SH und MV</w:t>
      </w:r>
    </w:p>
    <w:p>
      <w:pPr>
        <w:jc w:val="left"/>
      </w:pPr>
      <w:r>
        <w:rPr>
          <w:b/>
        </w:rPr>
        <w:t>Beauftragung:</w:t>
      </w:r>
      <w:r>
        <w:t xml:space="preserve"> Externer AML-Consultant (Angebot liegt vor: ca. 12.000 EUR)</w:t>
      </w:r>
    </w:p>
    <w:p>
      <w:pPr>
        <w:jc w:val="left"/>
      </w:pPr>
      <w:r>
        <w:rPr>
          <w:b/>
        </w:rPr>
        <w:t>Frist:</w:t>
      </w:r>
      <w:r>
        <w:t xml:space="preserve"> Fertigstellung bis 15. Juni 2026; Vorlage an BaFin bis 30. Juni 2026</w:t>
      </w:r>
    </w:p>
    <w:p>
      <w:pPr>
        <w:pStyle w:val="Heading3"/>
      </w:pPr>
      <w:r>
        <w:rPr>
          <w:rFonts w:ascii="Times New Roman" w:hAnsi="Times New Roman"/>
        </w:rPr>
        <w:t>Maßnahme 5: Mitarbeiterschulung</w:t>
      </w:r>
    </w:p>
    <w:p>
      <w:pPr>
        <w:jc w:val="left"/>
      </w:pPr>
      <w:r>
        <w:rPr>
          <w:b/>
        </w:rPr>
        <w:t>Inhalt:</w:t>
      </w:r>
      <w:r>
        <w:t xml:space="preserve"> Ganztägige Pflichtschulung für alle Rechtsanwälte und Sachbearbeiter zu GwG-Grundlagen, Sanktionsrecht und KYC-Prozessen</w:t>
      </w:r>
    </w:p>
    <w:p>
      <w:pPr>
        <w:jc w:val="left"/>
      </w:pPr>
      <w:r>
        <w:rPr>
          <w:b/>
        </w:rPr>
        <w:t>Termin:</w:t>
      </w:r>
      <w:r>
        <w:t xml:space="preserve"> 14. Mai 2026 (bereits angefragt)</w:t>
      </w:r>
    </w:p>
    <w:p>
      <w:pPr>
        <w:jc w:val="left"/>
      </w:pPr>
      <w:r>
        <w:rPr>
          <w:b/>
        </w:rPr>
        <w:t>Trainer:</w:t>
      </w:r>
      <w:r>
        <w:t xml:space="preserve"> Externer AML-Referent, Deutsche Anwaltakademie</w:t>
      </w:r>
    </w:p>
    <w:p>
      <w:pPr>
        <w:pStyle w:val="Heading3"/>
      </w:pPr>
      <w:r>
        <w:rPr>
          <w:rFonts w:ascii="Times New Roman" w:hAnsi="Times New Roman"/>
        </w:rPr>
        <w:t>Maßnahme 6: Überarbeitung des Mandatsannahmeprozesses</w:t>
      </w:r>
    </w:p>
    <w:p>
      <w:pPr>
        <w:jc w:val="left"/>
      </w:pPr>
      <w:r>
        <w:rPr>
          <w:b/>
        </w:rPr>
        <w:t>Ziel:</w:t>
      </w:r>
      <w:r>
        <w:t xml:space="preserve"> Einbau einer AML-Prüfphase vor der Mandatsannahme bei allen Immobilientransaktionen über 250.000 EUR</w:t>
      </w:r>
    </w:p>
    <w:p>
      <w:pPr>
        <w:jc w:val="left"/>
      </w:pPr>
      <w:r>
        <w:rPr>
          <w:b/>
        </w:rPr>
        <w:t>Form:</w:t>
      </w:r>
      <w:r>
        <w:t xml:space="preserve"> Anpassung der internen Mandatsannahmeverordnung (Kanzleihandbuch)</w:t>
      </w:r>
    </w:p>
    <w:p/>
    <w:p>
      <w:pPr>
        <w:pStyle w:val="Heading2"/>
      </w:pPr>
      <w:r>
        <w:rPr>
          <w:rFonts w:ascii="Times New Roman" w:hAnsi="Times New Roman"/>
        </w:rPr>
        <w:t>Mittelfristige Maßnahmen (bis 30. September 2026)</w:t>
      </w:r>
    </w:p>
    <w:p>
      <w:pPr>
        <w:pStyle w:val="Heading3"/>
      </w:pPr>
      <w:r>
        <w:rPr>
          <w:rFonts w:ascii="Times New Roman" w:hAnsi="Times New Roman"/>
        </w:rPr>
        <w:t>Maßnahme 7: Einführung eines internen Meldesystems</w:t>
      </w:r>
    </w:p>
    <w:p>
      <w:pPr>
        <w:jc w:val="left"/>
      </w:pPr>
      <w:r>
        <w:rPr>
          <w:b/>
        </w:rPr>
        <w:t>Zweck:</w:t>
      </w:r>
      <w:r>
        <w:t xml:space="preserve"> Ermöglicht Sachbearbeitern, anonym AML-Verdachtsfälle an den AML-Officer zu melden (Whistleblower-System intern)</w:t>
      </w:r>
    </w:p>
    <w:p>
      <w:pPr>
        <w:jc w:val="left"/>
      </w:pPr>
      <w:r>
        <w:rPr>
          <w:b/>
        </w:rPr>
        <w:t>Rechtsgrundlage:</w:t>
      </w:r>
      <w:r>
        <w:t xml:space="preserve"> HinSchG (Hinweisgeberschutzgesetz), § 12 HinSchG</w:t>
      </w:r>
    </w:p>
    <w:p>
      <w:pPr>
        <w:pStyle w:val="Heading3"/>
      </w:pPr>
      <w:r>
        <w:rPr>
          <w:rFonts w:ascii="Times New Roman" w:hAnsi="Times New Roman"/>
        </w:rPr>
        <w:t>Maßnahme 8: Jährliche Überprüfung der Risikoanalyse</w:t>
      </w:r>
    </w:p>
    <w:p>
      <w:pPr>
        <w:jc w:val="left"/>
      </w:pPr>
      <w:r>
        <w:rPr>
          <w:b/>
        </w:rPr>
        <w:t>Form:</w:t>
      </w:r>
      <w:r>
        <w:t xml:space="preserve"> Beschluss der Partnerkonferenz, der eine jährliche Überprüfung und ggf. Aktualisierung der Risikoanalyse verbindlich vorschreibt</w:t>
      </w:r>
    </w:p>
    <w:p>
      <w:pPr>
        <w:jc w:val="left"/>
      </w:pPr>
      <w:r>
        <w:rPr>
          <w:b/>
        </w:rPr>
        <w:t>Dokumentation:</w:t>
      </w:r>
      <w:r>
        <w:t xml:space="preserve"> Protokoll der Partnerkonferenz</w:t>
      </w:r>
    </w:p>
    <w:p>
      <w:pPr>
        <w:pStyle w:val="Heading3"/>
      </w:pPr>
      <w:r>
        <w:rPr>
          <w:rFonts w:ascii="Times New Roman" w:hAnsi="Times New Roman"/>
        </w:rPr>
        <w:t>Maßnahme 9: Vertragsüberprüfung bestehender Mandatsverhältnisse</w:t>
      </w:r>
    </w:p>
    <w:p>
      <w:pPr>
        <w:jc w:val="left"/>
      </w:pPr>
      <w:r>
        <w:rPr>
          <w:b/>
        </w:rPr>
        <w:t>Zweck:</w:t>
      </w:r>
      <w:r>
        <w:t xml:space="preserve"> Retrospektive Prüfung aller laufenden Mandate mit Offshore-Gesellschaften als Vertragspartner auf GwG-Konformität</w:t>
      </w:r>
    </w:p>
    <w:p>
      <w:pPr>
        <w:jc w:val="left"/>
      </w:pPr>
      <w:r>
        <w:rPr>
          <w:b/>
        </w:rPr>
        <w:t>Umfang:</w:t>
      </w:r>
      <w:r>
        <w:t xml:space="preserve"> Schätzungsweise 12–15 aktive Mandate</w:t>
      </w:r>
    </w:p>
    <w:p/>
    <w:p>
      <w:pPr>
        <w:pStyle w:val="Heading2"/>
      </w:pPr>
      <w:r>
        <w:rPr>
          <w:rFonts w:ascii="Times New Roman" w:hAnsi="Times New Roman"/>
        </w:rPr>
        <w:t>Darstellung der Roadmap in der BaFin-Stellungnahme</w:t>
      </w:r>
    </w:p>
    <w:p>
      <w:pPr>
        <w:jc w:val="left"/>
      </w:pPr>
      <w:r>
        <w:t>Die Stellungnahme (Entwurf: docx/stellungnahme_bafin_aml_bussgeld.docx) enthält einen gesonderten Abschnitt „Remediation", der die Maßnahmen 1–3 als bereits umgesetzt und Maßnahmen 4–9 als geplant darstellt. Der Zeitplan ist mit konkreten Daten und Verantwortlichen versehen. Belege (Vertragsangebote, Schulungsbestätigungen) werden als Anlage beigefügt.</w:t>
      </w:r>
    </w:p>
    <w:p/>
    <w:p>
      <w:pPr>
        <w:pStyle w:val="Heading2"/>
      </w:pPr>
      <w:r>
        <w:rPr>
          <w:rFonts w:ascii="Times New Roman" w:hAnsi="Times New Roman"/>
        </w:rPr>
        <w:t>Erwartete Wirkung auf die Verfahren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Verfahren</w:t>
            </w:r>
          </w:p>
        </w:tc>
        <w:tc>
          <w:tcPr>
            <w:tcW w:type="dxa" w:w="4536"/>
          </w:tcPr>
          <w:p>
            <w:r>
              <w:rPr>
                <w:rFonts w:ascii="Times New Roman" w:hAnsi="Times New Roman"/>
                <w:b/>
                <w:sz w:val="20"/>
              </w:rPr>
              <w:t>Erwartete Wirkung der Remediation</w:t>
            </w:r>
          </w:p>
        </w:tc>
      </w:tr>
      <w:tr>
        <w:tc>
          <w:tcPr>
            <w:tcW w:type="dxa" w:w="4536"/>
          </w:tcPr>
          <w:p>
            <w:r>
              <w:rPr>
                <w:rFonts w:ascii="Times New Roman" w:hAnsi="Times New Roman"/>
                <w:sz w:val="20"/>
              </w:rPr>
              <w:t>BaFin-Bußgeld</w:t>
            </w:r>
          </w:p>
        </w:tc>
        <w:tc>
          <w:tcPr>
            <w:tcW w:type="dxa" w:w="4536"/>
          </w:tcPr>
          <w:p>
            <w:r>
              <w:rPr>
                <w:rFonts w:ascii="Times New Roman" w:hAnsi="Times New Roman"/>
                <w:sz w:val="20"/>
              </w:rPr>
              <w:t>Bußgeldminderung (kooperative Haltung, Nachbesserung); angestrebte Reduktion um 30–50 %</w:t>
            </w:r>
          </w:p>
        </w:tc>
      </w:tr>
      <w:tr>
        <w:tc>
          <w:tcPr>
            <w:tcW w:type="dxa" w:w="4536"/>
          </w:tcPr>
          <w:p>
            <w:r>
              <w:rPr>
                <w:rFonts w:ascii="Times New Roman" w:hAnsi="Times New Roman"/>
                <w:sz w:val="20"/>
              </w:rPr>
              <w:t>RAK Hamburg</w:t>
            </w:r>
          </w:p>
        </w:tc>
        <w:tc>
          <w:tcPr>
            <w:tcW w:type="dxa" w:w="4536"/>
          </w:tcPr>
          <w:p>
            <w:r>
              <w:rPr>
                <w:rFonts w:ascii="Times New Roman" w:hAnsi="Times New Roman"/>
                <w:sz w:val="20"/>
              </w:rPr>
              <w:t>Abschluss mit Verweis statt Geldbuße; kein Anwaltsgerichtsverfahren</w:t>
            </w:r>
          </w:p>
        </w:tc>
      </w:tr>
      <w:tr>
        <w:tc>
          <w:tcPr>
            <w:tcW w:type="dxa" w:w="4536"/>
          </w:tcPr>
          <w:p>
            <w:r>
              <w:rPr>
                <w:rFonts w:ascii="Times New Roman" w:hAnsi="Times New Roman"/>
                <w:sz w:val="20"/>
              </w:rPr>
              <w:t>StA Kiel</w:t>
            </w:r>
          </w:p>
        </w:tc>
        <w:tc>
          <w:tcPr>
            <w:tcW w:type="dxa" w:w="4536"/>
          </w:tcPr>
          <w:p>
            <w:r>
              <w:rPr>
                <w:rFonts w:ascii="Times New Roman" w:hAnsi="Times New Roman"/>
                <w:sz w:val="20"/>
              </w:rPr>
              <w:t>Kein direkter Einfluss auf Strafbarkeit; aber positives Signal für § 153a StPO-Einstellung</w:t>
            </w:r>
          </w:p>
        </w:tc>
      </w:tr>
    </w:tbl>
    <w:p/>
    <w:p>
      <w:pPr>
        <w:pStyle w:val="Heading2"/>
      </w:pPr>
      <w:r>
        <w:rPr>
          <w:rFonts w:ascii="Times New Roman" w:hAnsi="Times New Roman"/>
        </w:rPr>
        <w:t>Kosten der Remediation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w:t>
            </w:r>
          </w:p>
        </w:tc>
        <w:tc>
          <w:tcPr>
            <w:tcW w:type="dxa" w:w="4536"/>
          </w:tcPr>
          <w:p>
            <w:r>
              <w:rPr>
                <w:rFonts w:ascii="Times New Roman" w:hAnsi="Times New Roman"/>
                <w:b/>
                <w:sz w:val="20"/>
              </w:rPr>
              <w:t>Kosten (geschätzt)</w:t>
            </w:r>
          </w:p>
        </w:tc>
      </w:tr>
      <w:tr>
        <w:tc>
          <w:tcPr>
            <w:tcW w:type="dxa" w:w="4536"/>
          </w:tcPr>
          <w:p>
            <w:r>
              <w:rPr>
                <w:rFonts w:ascii="Times New Roman" w:hAnsi="Times New Roman"/>
                <w:sz w:val="20"/>
              </w:rPr>
              <w:t>Sanktionsscreening-Tool (1 Jahr)</w:t>
            </w:r>
          </w:p>
        </w:tc>
        <w:tc>
          <w:tcPr>
            <w:tcW w:type="dxa" w:w="4536"/>
          </w:tcPr>
          <w:p>
            <w:r>
              <w:rPr>
                <w:rFonts w:ascii="Times New Roman" w:hAnsi="Times New Roman"/>
                <w:sz w:val="20"/>
              </w:rPr>
              <w:t>8.500 EUR</w:t>
            </w:r>
          </w:p>
        </w:tc>
      </w:tr>
      <w:tr>
        <w:tc>
          <w:tcPr>
            <w:tcW w:type="dxa" w:w="4536"/>
          </w:tcPr>
          <w:p>
            <w:r>
              <w:rPr>
                <w:rFonts w:ascii="Times New Roman" w:hAnsi="Times New Roman"/>
                <w:sz w:val="20"/>
              </w:rPr>
              <w:t>Externe Risikoanalyse</w:t>
            </w:r>
          </w:p>
        </w:tc>
        <w:tc>
          <w:tcPr>
            <w:tcW w:type="dxa" w:w="4536"/>
          </w:tcPr>
          <w:p>
            <w:r>
              <w:rPr>
                <w:rFonts w:ascii="Times New Roman" w:hAnsi="Times New Roman"/>
                <w:sz w:val="20"/>
              </w:rPr>
              <w:t>12.000 EUR</w:t>
            </w:r>
          </w:p>
        </w:tc>
      </w:tr>
      <w:tr>
        <w:tc>
          <w:tcPr>
            <w:tcW w:type="dxa" w:w="4536"/>
          </w:tcPr>
          <w:p>
            <w:r>
              <w:rPr>
                <w:rFonts w:ascii="Times New Roman" w:hAnsi="Times New Roman"/>
                <w:sz w:val="20"/>
              </w:rPr>
              <w:t>Schulung</w:t>
            </w:r>
          </w:p>
        </w:tc>
        <w:tc>
          <w:tcPr>
            <w:tcW w:type="dxa" w:w="4536"/>
          </w:tcPr>
          <w:p>
            <w:r>
              <w:rPr>
                <w:rFonts w:ascii="Times New Roman" w:hAnsi="Times New Roman"/>
                <w:sz w:val="20"/>
              </w:rPr>
              <w:t>4.500 EUR</w:t>
            </w:r>
          </w:p>
        </w:tc>
      </w:tr>
      <w:tr>
        <w:tc>
          <w:tcPr>
            <w:tcW w:type="dxa" w:w="4536"/>
          </w:tcPr>
          <w:p>
            <w:r>
              <w:rPr>
                <w:rFonts w:ascii="Times New Roman" w:hAnsi="Times New Roman"/>
                <w:sz w:val="20"/>
              </w:rPr>
              <w:t>Rechtsberatung Compliance</w:t>
            </w:r>
          </w:p>
        </w:tc>
        <w:tc>
          <w:tcPr>
            <w:tcW w:type="dxa" w:w="4536"/>
          </w:tcPr>
          <w:p>
            <w:r>
              <w:rPr>
                <w:rFonts w:ascii="Times New Roman" w:hAnsi="Times New Roman"/>
                <w:sz w:val="20"/>
              </w:rPr>
              <w:t>15.000 EUR</w:t>
            </w:r>
          </w:p>
        </w:tc>
      </w:tr>
      <w:tr>
        <w:tc>
          <w:tcPr>
            <w:tcW w:type="dxa" w:w="4536"/>
          </w:tcPr>
          <w:p>
            <w:r>
              <w:rPr>
                <w:rFonts w:ascii="Times New Roman" w:hAnsi="Times New Roman"/>
                <w:sz w:val="20"/>
              </w:rPr>
              <w:t>Interne Arbeitszeit (geschätzt)</w:t>
            </w:r>
          </w:p>
        </w:tc>
        <w:tc>
          <w:tcPr>
            <w:tcW w:type="dxa" w:w="4536"/>
          </w:tcPr>
          <w:p>
            <w:r>
              <w:rPr>
                <w:rFonts w:ascii="Times New Roman" w:hAnsi="Times New Roman"/>
                <w:sz w:val="20"/>
              </w:rPr>
              <w:t>10.000 EUR</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ca. 50.000 EUR</w:t>
            </w:r>
          </w:p>
        </w:tc>
      </w:tr>
    </w:tbl>
    <w:p>
      <w:pPr>
        <w:jc w:val="left"/>
      </w:pPr>
      <w:r>
        <w:t>Die Kosten sind im Verhältnis zu einem drohenden Bußgeld von 200.000–500.000 EUR vertretbar.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