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Chronologie der AML-Versäumnisse</w:t>
      </w:r>
    </w:p>
    <w:p>
      <w:pPr>
        <w:jc w:val="left"/>
      </w:pPr>
      <w:r>
        <w:t>Bearbeiter: RAin Dr. Johanna Reimers</w:t>
      </w:r>
    </w:p>
    <w:p>
      <w:pPr>
        <w:jc w:val="left"/>
      </w:pPr>
      <w:r>
        <w:t>Datum: 24. April 2026</w:t>
      </w:r>
    </w:p>
    <w:p/>
    <w:p>
      <w:pPr>
        <w:pStyle w:val="Heading2"/>
      </w:pPr>
      <w:r>
        <w:rPr>
          <w:rFonts w:ascii="Times New Roman" w:hAnsi="Times New Roman"/>
        </w:rPr>
        <w:t>Überblick</w:t>
      </w:r>
    </w:p>
    <w:p>
      <w:pPr>
        <w:jc w:val="left"/>
      </w:pPr>
      <w:r>
        <w:t>Die folgende Chronologie dient der Strukturierung der bekannten Tatsachen für die Verteidigung. Sie ist aus den vorliegenden Unterlagen (Kanzleiakten Sandhof &amp; Partner, FIU-Mitteilungen, BaFin-Anhörung) rekonstruiert. Lücken sind gekennzeichnet.</w:t>
      </w:r>
    </w:p>
    <w:p/>
    <w:p>
      <w:pPr>
        <w:pStyle w:val="Heading2"/>
      </w:pPr>
      <w:r>
        <w:rPr>
          <w:rFonts w:ascii="Times New Roman" w:hAnsi="Times New Roman"/>
        </w:rPr>
        <w:t>2019</w:t>
      </w:r>
    </w:p>
    <w:p>
      <w:pPr>
        <w:jc w:val="left"/>
      </w:pPr>
      <w:r>
        <w:rPr>
          <w:b/>
        </w:rPr>
        <w:t>März 2019:</w:t>
      </w:r>
      <w:r>
        <w:t xml:space="preserve"> RA Markus Fischer erstellt die Risikoanalyse der Kanzlei nach § 5 GwG (ca. 12 Seiten, auf Basis eines Musterentwurfs der Deutschen Anwaltakademie). Die Risikoanalyse wird nicht durch einen Partner geprüft oder genehmigt. Sandhof hat nach eigener Angabe den Entwurf kursorisch gelesen, aber keine Anmerkungen gemacht.</w:t>
      </w:r>
    </w:p>
    <w:p/>
    <w:p>
      <w:pPr>
        <w:pStyle w:val="Heading2"/>
      </w:pPr>
      <w:r>
        <w:rPr>
          <w:rFonts w:ascii="Times New Roman" w:hAnsi="Times New Roman"/>
        </w:rPr>
        <w:t>2020</w:t>
      </w:r>
    </w:p>
    <w:p>
      <w:pPr>
        <w:jc w:val="left"/>
      </w:pPr>
      <w:r>
        <w:rPr>
          <w:b/>
        </w:rPr>
        <w:t>November 2020:</w:t>
      </w:r>
      <w:r>
        <w:t xml:space="preserve"> GwG-Novelle in Kraft (Umsetzung AMLD V). Neue Anforderungen an UBO-Identifizierung, Risikoanalyse und Transparenzregisterpflichten. Die Kanzlei erhält ein Rundschreiben der RAK Hamburg. RA Fischer vermerkt handschriftlich auf dem Rundschreiben „prüfen" — keine weiteren Maßnahmen dokumentiert.</w:t>
      </w:r>
    </w:p>
    <w:p/>
    <w:p>
      <w:pPr>
        <w:pStyle w:val="Heading2"/>
      </w:pPr>
      <w:r>
        <w:rPr>
          <w:rFonts w:ascii="Times New Roman" w:hAnsi="Times New Roman"/>
        </w:rPr>
        <w:t>2022</w:t>
      </w:r>
    </w:p>
    <w:p>
      <w:pPr>
        <w:jc w:val="left"/>
      </w:pPr>
      <w:r>
        <w:rPr>
          <w:b/>
        </w:rPr>
        <w:t>März 2022:</w:t>
      </w:r>
      <w:r>
        <w:t xml:space="preserve"> Inkrafttreten des SanktDG infolge des russischen Angriffs auf die Ukraine. Meldepflichten nach §§ 4 ff. SanktDG gelten ab diesem Zeitpunkt auch für Anwaltskanzleien, soweit sie Kenntnis von Vermögenswerten sanktionierter Personen haben.</w:t>
      </w:r>
    </w:p>
    <w:p>
      <w:pPr>
        <w:jc w:val="left"/>
      </w:pPr>
      <w:r>
        <w:rPr>
          <w:b/>
        </w:rPr>
        <w:t>Oktober 2022:</w:t>
      </w:r>
      <w:r>
        <w:t xml:space="preserve"> RAK Hamburg versendet Rundschreiben zu verschärften GwG-Pflichten bei Immobilientransaktionen und zur Pflicht zur Sanktionsprüfung. Eingang in der Kanzlei ist dokumentiert; keine intern dokumentierte Reaktion.</w:t>
      </w:r>
    </w:p>
    <w:p/>
    <w:p>
      <w:pPr>
        <w:pStyle w:val="Heading2"/>
      </w:pPr>
      <w:r>
        <w:rPr>
          <w:rFonts w:ascii="Times New Roman" w:hAnsi="Times New Roman"/>
        </w:rPr>
        <w:t>2023</w:t>
      </w:r>
    </w:p>
    <w:p>
      <w:pPr>
        <w:jc w:val="left"/>
      </w:pPr>
      <w:r>
        <w:rPr>
          <w:b/>
        </w:rPr>
        <w:t>Oktober 2023:</w:t>
      </w:r>
      <w:r>
        <w:t xml:space="preserve"> ICIJ veröffentlicht den „Cyprus Confidential"-Datensatz; umfangreiche Berichterstattung in deutschen Medien. Die Ariadne Nominees Ltd. (Nominee-Dienstleister für Bluetail Holdings Ltd.) taucht in journalistischen Auswertungen auf. Kanzlei Sandhof &amp; Partner hat davon — nach eigenem Vortrag — keine Kenntnis.</w:t>
      </w:r>
    </w:p>
    <w:p/>
    <w:p>
      <w:pPr>
        <w:pStyle w:val="Heading2"/>
      </w:pPr>
      <w:r>
        <w:rPr>
          <w:rFonts w:ascii="Times New Roman" w:hAnsi="Times New Roman"/>
        </w:rPr>
        <w:t>2024</w:t>
      </w:r>
    </w:p>
    <w:p>
      <w:pPr>
        <w:jc w:val="left"/>
      </w:pPr>
      <w:r>
        <w:rPr>
          <w:b/>
        </w:rPr>
        <w:t>16. Mai 2024:</w:t>
      </w:r>
      <w:r>
        <w:t xml:space="preserve"> Inkrafttreten VO (EU) 2024/881. Vitali Petrowitsch Smolenski wird in die EU-Sanktionsliste aufgenommen.</w:t>
      </w:r>
    </w:p>
    <w:p>
      <w:pPr>
        <w:jc w:val="left"/>
      </w:pPr>
      <w:r>
        <w:rPr>
          <w:b/>
        </w:rPr>
        <w:t>Mai 2024:</w:t>
      </w:r>
      <w:r>
        <w:t xml:space="preserve"> Erster Kontakt der Kanzlei Sandhof &amp; Partner mit Bluetail Holdings Ltd. über den Offline-Makler Konstantin Haberstock, Sylt Immobilien GmbH (nicht als Partei involviert). RAin Westricher nimmt das Mandat an.</w:t>
      </w:r>
    </w:p>
    <w:p>
      <w:pPr>
        <w:jc w:val="left"/>
      </w:pPr>
      <w:r>
        <w:rPr>
          <w:b/>
        </w:rPr>
        <w:t>28. Mai 2024:</w:t>
      </w:r>
      <w:r>
        <w:t xml:space="preserve"> Vollmacht Papadimitrious für Bluetail Holdings Ltd. geht der Kanzlei zu. Westricher vermerkt in der Akte: „zypriotische GmbH, russischer Hintergrund lt. Vollmacht-Begleitschreiben." Kein AML-Check erfolgt.</w:t>
      </w:r>
    </w:p>
    <w:p>
      <w:pPr>
        <w:jc w:val="left"/>
      </w:pPr>
      <w:r>
        <w:rPr>
          <w:b/>
        </w:rPr>
        <w:t>14. Juni 2024:</w:t>
      </w:r>
      <w:r>
        <w:t xml:space="preserve"> Erste Beurkundung (Norddorf, 1.240.000 EUR). Sandhof war nach eigener Angabe bei dem Termin nicht anwesend und hatte keine direkte Befassung mit dem Mandat.</w:t>
      </w:r>
    </w:p>
    <w:p>
      <w:pPr>
        <w:jc w:val="left"/>
      </w:pPr>
      <w:r>
        <w:rPr>
          <w:b/>
        </w:rPr>
        <w:t>02. September 2024:</w:t>
      </w:r>
      <w:r>
        <w:t xml:space="preserve"> Zweite Beurkundung (Nebel, 980.000 EUR). RAin Westricher führt erneut den Beurkundungstermin durch. Keine KYC-Prüfung.</w:t>
      </w:r>
    </w:p>
    <w:p>
      <w:pPr>
        <w:jc w:val="left"/>
      </w:pPr>
      <w:r>
        <w:rPr>
          <w:b/>
        </w:rPr>
        <w:t>18. November 2024:</w:t>
      </w:r>
      <w:r>
        <w:t xml:space="preserve"> Dritte Beurkundung (Wittdün, 1.450.000 EUR). Jetzt übernimmt RA Bohlmann die Sachbearbeitung. Westricher ist in Elternzeit.</w:t>
      </w:r>
    </w:p>
    <w:p>
      <w:pPr>
        <w:jc w:val="left"/>
      </w:pPr>
      <w:r>
        <w:rPr>
          <w:b/>
        </w:rPr>
        <w:t>Dezember 2024:</w:t>
      </w:r>
      <w:r>
        <w:t xml:space="preserve"> RA Fischer kündigt seinen Austritt aus der Kanzlei zum 31. März 2025 an. Die AML-Officer-Stelle wird intern nicht ausgeschrieben.</w:t>
      </w:r>
    </w:p>
    <w:p/>
    <w:p>
      <w:pPr>
        <w:pStyle w:val="Heading2"/>
      </w:pPr>
      <w:r>
        <w:rPr>
          <w:rFonts w:ascii="Times New Roman" w:hAnsi="Times New Roman"/>
        </w:rPr>
        <w:t>2025</w:t>
      </w:r>
    </w:p>
    <w:p>
      <w:pPr>
        <w:jc w:val="left"/>
      </w:pPr>
      <w:r>
        <w:rPr>
          <w:b/>
        </w:rPr>
        <w:t>07. Februar 2025:</w:t>
      </w:r>
      <w:r>
        <w:t xml:space="preserve"> Vierte Beurkundung (Norddorf, 870.000 EUR). RA Bohlmann führt durch; kein KYC.</w:t>
      </w:r>
    </w:p>
    <w:p>
      <w:pPr>
        <w:jc w:val="left"/>
      </w:pPr>
      <w:r>
        <w:rPr>
          <w:b/>
        </w:rPr>
        <w:t>18. Februar 2025:</w:t>
      </w:r>
      <w:r>
        <w:t xml:space="preserve"> Das Notariat Petersen &amp; Clasen erstattet FIU-Meldung (nach interner Prüfung der vier Transaktionen). Die FIU leitet dies an das Zollkriminalamt und die Staatsanwaltschaft weiter.</w:t>
      </w:r>
    </w:p>
    <w:p>
      <w:pPr>
        <w:jc w:val="left"/>
      </w:pPr>
      <w:r>
        <w:rPr>
          <w:b/>
        </w:rPr>
        <w:t>31. März 2025:</w:t>
      </w:r>
      <w:r>
        <w:t xml:space="preserve"> Ausscheiden RA Fischer. Keine Neubestellung eines AML-Officers.</w:t>
      </w:r>
    </w:p>
    <w:p>
      <w:pPr>
        <w:jc w:val="left"/>
      </w:pPr>
      <w:r>
        <w:rPr>
          <w:b/>
        </w:rPr>
        <w:t>Herbst 2025:</w:t>
      </w:r>
      <w:r>
        <w:t xml:space="preserve"> (Datum unklar) BaFin erhält Hinweis aus FIU-Meldung des Notars und leitet Vorermittlungen ein.</w:t>
      </w:r>
    </w:p>
    <w:p/>
    <w:p>
      <w:pPr>
        <w:pStyle w:val="Heading2"/>
      </w:pPr>
      <w:r>
        <w:rPr>
          <w:rFonts w:ascii="Times New Roman" w:hAnsi="Times New Roman"/>
        </w:rPr>
        <w:t>2026</w:t>
      </w:r>
    </w:p>
    <w:p>
      <w:pPr>
        <w:jc w:val="left"/>
      </w:pPr>
      <w:r>
        <w:rPr>
          <w:b/>
        </w:rPr>
        <w:t>Januar 2026:</w:t>
      </w:r>
      <w:r>
        <w:t xml:space="preserve"> Staatsanwaltschaft Kiel eröffnet Ermittlungsverfahren 4 KS 188/26 gegen Sandhof.</w:t>
      </w:r>
    </w:p>
    <w:p>
      <w:pPr>
        <w:jc w:val="left"/>
      </w:pPr>
      <w:r>
        <w:rPr>
          <w:b/>
        </w:rPr>
        <w:t>22. Februar 2026:</w:t>
      </w:r>
      <w:r>
        <w:t xml:space="preserve"> FIU-Schreiben an Sandhof mit Mitteilung, dass keine Meldungen der Kanzlei vorliegen.</w:t>
      </w:r>
    </w:p>
    <w:p>
      <w:pPr>
        <w:jc w:val="left"/>
      </w:pPr>
      <w:r>
        <w:rPr>
          <w:b/>
        </w:rPr>
        <w:t>08. März 2026:</w:t>
      </w:r>
      <w:r>
        <w:t xml:space="preserve"> BaFin-Anhörungsschreiben (Az. BaFin-GwG-2026-084-NH), Frist 30. April 2026.</w:t>
      </w:r>
    </w:p>
    <w:p>
      <w:pPr>
        <w:jc w:val="left"/>
      </w:pPr>
      <w:r>
        <w:rPr>
          <w:b/>
        </w:rPr>
        <w:t>15. März 2026:</w:t>
      </w:r>
      <w:r>
        <w:t xml:space="preserve"> RAK Hamburg erteilt Rüge (Az. RAK HH 2026/0317).</w:t>
      </w:r>
    </w:p>
    <w:p>
      <w:pPr>
        <w:jc w:val="left"/>
      </w:pPr>
      <w:r>
        <w:rPr>
          <w:b/>
        </w:rPr>
        <w:t>02. April 2026:</w:t>
      </w:r>
      <w:r>
        <w:t xml:space="preserve"> StA Kiel übersendet Sandhof Mitteilung über Strafanzeige.</w:t>
      </w:r>
    </w:p>
    <w:p>
      <w:pPr>
        <w:jc w:val="left"/>
      </w:pPr>
      <w:r>
        <w:rPr>
          <w:b/>
        </w:rPr>
        <w:t>10. April 2026:</w:t>
      </w:r>
      <w:r>
        <w:t xml:space="preserve"> Mandatsannahme durch Quasdorf &amp; Reimers.</w:t>
      </w:r>
    </w:p>
    <w:p>
      <w:pPr>
        <w:jc w:val="left"/>
      </w:pPr>
      <w:r>
        <w:rPr>
          <w:b/>
        </w:rPr>
        <w:t>22. April 2026:</w:t>
      </w:r>
      <w:r>
        <w:t xml:space="preserve"> Kanzlei Sandhof &amp; Partner kündigt Mandat Bluetail Holdings Ltd. (emails/2026-04-22_kanzlei_an_smolenski_kuendigung.eml).</w:t>
      </w:r>
    </w:p>
    <w:p/>
    <w:p>
      <w:pPr>
        <w:pStyle w:val="Heading2"/>
      </w:pPr>
      <w:r>
        <w:rPr>
          <w:rFonts w:ascii="Times New Roman" w:hAnsi="Times New Roman"/>
        </w:rPr>
        <w:t>Beobachtung: Systemische Blindheit</w:t>
      </w:r>
    </w:p>
    <w:p>
      <w:pPr>
        <w:jc w:val="left"/>
      </w:pPr>
      <w:r>
        <w:t>Die Chronologie zeigt kein aktives Verschleiern, sondern eine schrittweise Anhäufung von Unterlassungen. Jedes einzelne Versäumnis (fehlende Aktualisierung der Risikoanalyse, fehlender Sanktionscheck, fehlende FIU-Meldung) erscheint für sich isoliert vielleicht als Nachlässigkeit. Die Kumulation über einen Zeitraum von sieben Jahren (2019–2026) und die Konzentration in einem System, das nie einer kritischen internen Revision unterzogen wurde, ergibt das Bild einer strukturellen AML-Blindheit.</w:t>
      </w:r>
    </w:p>
    <w:p>
      <w:pPr>
        <w:jc w:val="left"/>
      </w:pPr>
      <w:r>
        <w:t>Für die Verteidigung ist diese Interpretation günstig: Es handelt sich um Fahrlässigkeit auf Systemebene, nicht um individuelle Entscheidungen Sandhofs zur Begehung einer Straftat.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