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Abschlussnotiz: AML-Redesign und Strafverteidigung — Gesamtstrategie</w:t>
      </w:r>
    </w:p>
    <w:p>
      <w:pPr>
        <w:jc w:val="left"/>
      </w:pPr>
      <w:r>
        <w:t>Bearbeiter: RA Dr. Henning Quasdorf / RAin Dr. Johanna Reimers</w:t>
      </w:r>
    </w:p>
    <w:p>
      <w:pPr>
        <w:jc w:val="left"/>
      </w:pPr>
      <w:r>
        <w:t>Datum: 24. April 2026</w:t>
      </w:r>
    </w:p>
    <w:p/>
    <w:p>
      <w:pPr>
        <w:pStyle w:val="Heading2"/>
      </w:pPr>
      <w:r>
        <w:rPr>
          <w:rFonts w:ascii="Times New Roman" w:hAnsi="Times New Roman"/>
        </w:rPr>
        <w:t>Gesamtbewertung</w:t>
      </w:r>
    </w:p>
    <w:p>
      <w:pPr>
        <w:jc w:val="left"/>
      </w:pPr>
      <w:r>
        <w:t>Das Mandat Sandhof ist ein Mehrfrontenfall. Die Verteidigung muss drei rechtlich eigenständige Verfahren führen, die inhaltlich eng verknüpft sind und sich gegenseitig beeinflussen. Eine konsistente Gesamtstrategie ist unabdingbar.</w:t>
      </w:r>
    </w:p>
    <w:p>
      <w:pPr>
        <w:jc w:val="left"/>
      </w:pPr>
      <w:r>
        <w:t>Kurzformel: Im Strafverfahren kein Vorsatz, nur Organisationsverschulden. Im Bußgeldverfahren Kooperation und Remediation. Im Berufsrecht Deeskalation.</w:t>
      </w:r>
    </w:p>
    <w:p/>
    <w:p>
      <w:pPr>
        <w:pStyle w:val="Heading2"/>
      </w:pPr>
      <w:r>
        <w:rPr>
          <w:rFonts w:ascii="Times New Roman" w:hAnsi="Times New Roman"/>
        </w:rPr>
        <w:t>Strafverteidigung § 261 StGB — Kernthesen</w:t>
      </w:r>
    </w:p>
    <w:p>
      <w:pPr>
        <w:jc w:val="left"/>
      </w:pPr>
      <w:r>
        <w:rPr>
          <w:b/>
        </w:rPr>
        <w:t>These 1: Kein Tatvorsatz</w:t>
      </w:r>
    </w:p>
    <w:p>
      <w:pPr>
        <w:jc w:val="left"/>
      </w:pPr>
      <w:r>
        <w:t>Sandhof hatte keine Kenntnis von der Identität Smolenski als UBO von Bluetail Holdings Ltd. Die Tatsache, dass ein „russischer Hintergrund" in der Akte vermerkt war, reicht für den Vorsatz nicht aus — Millionen russischer Staatsbürger stehen nicht auf Sanktionslisten.</w:t>
      </w:r>
    </w:p>
    <w:p>
      <w:pPr>
        <w:jc w:val="left"/>
      </w:pPr>
      <w:r>
        <w:rPr>
          <w:b/>
        </w:rPr>
        <w:t>These 2: Kein bedingter Vorsatz</w:t>
      </w:r>
    </w:p>
    <w:p>
      <w:pPr>
        <w:jc w:val="left"/>
      </w:pPr>
      <w:r>
        <w:t>Bedingter Vorsatz (dolus eventualis) setzt voraus, dass Sandhof die Möglichkeit einer Sanktionierung des wirtschaftlich Berechtigten erkannt und billigend in Kauf genommen hat. Dies ist nicht beweisbar: Die interne Akte zeigt keine Auseinandersetzung Sandhofs mit der Identität des UBO überhaupt.</w:t>
      </w:r>
    </w:p>
    <w:p>
      <w:pPr>
        <w:jc w:val="left"/>
      </w:pPr>
      <w:r>
        <w:rPr>
          <w:b/>
        </w:rPr>
        <w:t>These 3: Allenfalls Leichtfertigkeit (§ 261 Abs. 6 StGB)</w:t>
      </w:r>
    </w:p>
    <w:p>
      <w:pPr>
        <w:jc w:val="left"/>
      </w:pPr>
      <w:r>
        <w:t>Die strukturellen AML-Schwächen der Kanzlei begründen grobe Fahrlässigkeit (Leichtfertigkeit im Sinne von § 261 Abs. 6 StGB). Das hat eine erheblich niedrigere Strafdrohung (bis zu zwei Jahre Freiheitsstrafe oder Geldstrafe) und ermöglicht realistische Verfahrenseinstellung nach § 153a StPO.</w:t>
      </w:r>
    </w:p>
    <w:p/>
    <w:p>
      <w:pPr>
        <w:pStyle w:val="Heading2"/>
      </w:pPr>
      <w:r>
        <w:rPr>
          <w:rFonts w:ascii="Times New Roman" w:hAnsi="Times New Roman"/>
        </w:rPr>
        <w:t>Ziel: Einstellung nach § 153a StPO</w:t>
      </w:r>
    </w:p>
    <w:p>
      <w:pPr>
        <w:jc w:val="left"/>
      </w:pPr>
      <w:r>
        <w:t>Die günstigste Lösung für Sandhof persönlich ist eine Verfahrenseinstellung nach § 153a StPO (keine Verurteilung, aber Auflagen). Als Auflagen kommen in Betracht:</w:t>
      </w:r>
    </w:p>
    <w:p>
      <w:pPr>
        <w:pStyle w:val="ListBullet"/>
      </w:pPr>
      <w:r>
        <w:t>Zahlung eines Geldbetrags an eine gemeinnützige Organisation (Schätzung: 30.000–80.000 EUR)</w:t>
      </w:r>
    </w:p>
    <w:p>
      <w:pPr>
        <w:pStyle w:val="ListBullet"/>
      </w:pPr>
      <w:r>
        <w:t>Vorlage eines vollständigen AML-Compliance-Nachweises</w:t>
      </w:r>
    </w:p>
    <w:p>
      <w:pPr>
        <w:pStyle w:val="ListBullet"/>
      </w:pPr>
      <w:r>
        <w:t>Keine weiteren einschlägigen Verfahren innerhalb der Bewährungszeit</w:t>
      </w:r>
    </w:p>
    <w:p>
      <w:pPr>
        <w:jc w:val="left"/>
      </w:pPr>
      <w:r>
        <w:t>Voraussetzung: Die StA Kiel muss zustimmen. Das erfordert einen Verhandlungsprozess, der erfahrungsgemäß frühestens nach Akteneinsicht und Sachverhaltsklärung beginnt (frühestens Herbst 2026).</w:t>
      </w:r>
    </w:p>
    <w:p/>
    <w:p>
      <w:pPr>
        <w:pStyle w:val="Heading2"/>
      </w:pPr>
      <w:r>
        <w:rPr>
          <w:rFonts w:ascii="Times New Roman" w:hAnsi="Times New Roman"/>
        </w:rPr>
        <w:t>Bußgeldverfahren BaFin — Zielkorridor</w:t>
      </w:r>
    </w:p>
    <w:p>
      <w:pPr>
        <w:jc w:val="left"/>
      </w:pPr>
      <w:r>
        <w:t>Angestrebtes Ergebnis: Bußgeld zwischen 100.000 und 200.000 EUR (deutlich unterhalb der theoretischen Höchstgrenze von 1 Mio. EUR).</w:t>
      </w:r>
    </w:p>
    <w:p>
      <w:pPr>
        <w:jc w:val="left"/>
      </w:pPr>
      <w:r>
        <w:t>Erreichbar durch:</w:t>
      </w:r>
    </w:p>
    <w:p>
      <w:pPr>
        <w:pStyle w:val="ListBullet"/>
      </w:pPr>
      <w:r>
        <w:t>Vollständige Kooperation</w:t>
      </w:r>
    </w:p>
    <w:p>
      <w:pPr>
        <w:pStyle w:val="ListBullet"/>
      </w:pPr>
      <w:r>
        <w:t>Sofortige Remediation (AML-Officer, Screening-Tool, neue Risikoanalyse)</w:t>
      </w:r>
    </w:p>
    <w:p>
      <w:pPr>
        <w:pStyle w:val="ListBullet"/>
      </w:pPr>
      <w:r>
        <w:t>Darlegung des Organisationsverschuldens ohne Schuldanerkenntnis</w:t>
      </w:r>
    </w:p>
    <w:p>
      <w:pPr>
        <w:pStyle w:val="ListBullet"/>
      </w:pPr>
      <w:r>
        <w:t>Verhältnismäßigkeitsargument (mittelgroße Kanzlei, keine systemische Wiederholung)</w:t>
      </w:r>
    </w:p>
    <w:p/>
    <w:p>
      <w:pPr>
        <w:pStyle w:val="Heading2"/>
      </w:pPr>
      <w:r>
        <w:rPr>
          <w:rFonts w:ascii="Times New Roman" w:hAnsi="Times New Roman"/>
        </w:rPr>
        <w:t>Berufsrechtliches Verfahren RAK Hamburg — Ziel</w:t>
      </w:r>
    </w:p>
    <w:p>
      <w:pPr>
        <w:jc w:val="left"/>
      </w:pPr>
      <w:r>
        <w:t>Angestrebtes Ergebnis: Abschluss mit Verweis (§ 114 Abs. 1 Nr. 2 BRAO) nach Erledigung des BaFin-Verfahrens. Kein Anwaltsgerichtsverfahren, keine Geldbuße, keine Tätigkeitsbeschränkung.</w:t>
      </w:r>
    </w:p>
    <w:p>
      <w:pPr>
        <w:jc w:val="left"/>
      </w:pPr>
      <w:r>
        <w:t>Sandhof soll die anwaltliche Zulassung behalten. Die Ausschließung aus der Rechtsanwaltschaft (§ 114 Abs. 1 Nr. 5 BRAO) ist als Ziel explizit ausgeschlossen — sie würde Sandhofs berufliche Existenz beenden.</w:t>
      </w:r>
    </w:p>
    <w:p/>
    <w:p>
      <w:pPr>
        <w:pStyle w:val="Heading2"/>
      </w:pPr>
      <w:r>
        <w:rPr>
          <w:rFonts w:ascii="Times New Roman" w:hAnsi="Times New Roman"/>
        </w:rPr>
        <w:t>Interessenkonflikte im Verlauf der Verteidigung</w:t>
      </w:r>
    </w:p>
    <w:p>
      <w:pPr>
        <w:jc w:val="left"/>
      </w:pPr>
      <w:r>
        <w:t>Die Verteidigung muss laufend prüfen, ob Interessenkonflikte entstehen:</w:t>
      </w:r>
    </w:p>
    <w:p>
      <w:pPr>
        <w:pStyle w:val="ListNumber"/>
      </w:pPr>
      <w:r>
        <w:rPr>
          <w:b/>
        </w:rPr>
        <w:t>Sandhof vs. RAin Westricher / RA Bohlmann:</w:t>
      </w:r>
      <w:r>
        <w:t xml:space="preserve"> Wenn Sandhof zur Entlastung auf die Sachbearbeiter verweist, könnte das diese belasten. Quasdorf &amp; Reimers dürfen Westricher und Bohlmann nicht vertreten. Diese müssen gegebenenfalls eigene Anwälte mandatieren.</w:t>
      </w:r>
    </w:p>
    <w:p>
      <w:pPr>
        <w:pStyle w:val="ListNumber"/>
      </w:pPr>
      <w:r>
        <w:rPr>
          <w:b/>
        </w:rPr>
        <w:t>Sandhof persönlich vs. Kanzlei Sandhof &amp; Partner:</w:t>
      </w:r>
      <w:r>
        <w:t xml:space="preserve"> Die Kanzlei als Partnerschaftsgesellschaft kann eigene Interessen haben (z.B. Imageschutz), die von Sandhofs persönlichen Interessen abweichen. Die anderen Partner könnten eine Distanzierungsstrategie bevorzugen.</w:t>
      </w:r>
    </w:p>
    <w:p>
      <w:pPr>
        <w:pStyle w:val="ListNumber"/>
      </w:pPr>
      <w:r>
        <w:rPr>
          <w:b/>
        </w:rPr>
        <w:t>Mandatsverhältnis zu Bluetail:</w:t>
      </w:r>
      <w:r>
        <w:t xml:space="preserve"> Die Kanzlei hat das Mandat Bluetail Holdings Ltd. am 22. April 2026 gekündigt. Damit enden die Vertretungspflichten. Etwaige noch offene Honorarforderungen sind einzufrieren (Sanktionsrecht).</w:t>
      </w:r>
    </w:p>
    <w:p/>
    <w:p>
      <w:pPr>
        <w:pStyle w:val="Heading2"/>
      </w:pPr>
      <w:r>
        <w:rPr>
          <w:rFonts w:ascii="Times New Roman" w:hAnsi="Times New Roman"/>
        </w:rPr>
        <w:t>Offene Punkte (stand 24. April 2026)</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Punkt</w:t>
            </w:r>
          </w:p>
        </w:tc>
        <w:tc>
          <w:tcPr>
            <w:tcW w:type="dxa" w:w="3024"/>
          </w:tcPr>
          <w:p>
            <w:r>
              <w:rPr>
                <w:rFonts w:ascii="Times New Roman" w:hAnsi="Times New Roman"/>
                <w:b/>
                <w:sz w:val="20"/>
              </w:rPr>
              <w:t>Status</w:t>
            </w:r>
          </w:p>
        </w:tc>
        <w:tc>
          <w:tcPr>
            <w:tcW w:type="dxa" w:w="3024"/>
          </w:tcPr>
          <w:p>
            <w:r>
              <w:rPr>
                <w:rFonts w:ascii="Times New Roman" w:hAnsi="Times New Roman"/>
                <w:b/>
                <w:sz w:val="20"/>
              </w:rPr>
              <w:t>Priorität</w:t>
            </w:r>
          </w:p>
        </w:tc>
      </w:tr>
      <w:tr>
        <w:tc>
          <w:tcPr>
            <w:tcW w:type="dxa" w:w="3024"/>
          </w:tcPr>
          <w:p>
            <w:r>
              <w:rPr>
                <w:rFonts w:ascii="Times New Roman" w:hAnsi="Times New Roman"/>
                <w:sz w:val="20"/>
              </w:rPr>
              <w:t>Akteneinsicht StA Kiel</w:t>
            </w:r>
          </w:p>
        </w:tc>
        <w:tc>
          <w:tcPr>
            <w:tcW w:type="dxa" w:w="3024"/>
          </w:tcPr>
          <w:p>
            <w:r>
              <w:rPr>
                <w:rFonts w:ascii="Times New Roman" w:hAnsi="Times New Roman"/>
                <w:sz w:val="20"/>
              </w:rPr>
              <w:t>Beantragt; nicht gewährt</w:t>
            </w:r>
          </w:p>
        </w:tc>
        <w:tc>
          <w:tcPr>
            <w:tcW w:type="dxa" w:w="3024"/>
          </w:tcPr>
          <w:p>
            <w:r>
              <w:rPr>
                <w:rFonts w:ascii="Times New Roman" w:hAnsi="Times New Roman"/>
                <w:sz w:val="20"/>
              </w:rPr>
              <w:t>HOCH</w:t>
            </w:r>
          </w:p>
        </w:tc>
      </w:tr>
      <w:tr>
        <w:tc>
          <w:tcPr>
            <w:tcW w:type="dxa" w:w="3024"/>
          </w:tcPr>
          <w:p>
            <w:r>
              <w:rPr>
                <w:rFonts w:ascii="Times New Roman" w:hAnsi="Times New Roman"/>
                <w:sz w:val="20"/>
              </w:rPr>
              <w:t>Befragung RAin Westricher</w:t>
            </w:r>
          </w:p>
        </w:tc>
        <w:tc>
          <w:tcPr>
            <w:tcW w:type="dxa" w:w="3024"/>
          </w:tcPr>
          <w:p>
            <w:r>
              <w:rPr>
                <w:rFonts w:ascii="Times New Roman" w:hAnsi="Times New Roman"/>
                <w:sz w:val="20"/>
              </w:rPr>
              <w:t>Noch nicht erfolgt</w:t>
            </w:r>
          </w:p>
        </w:tc>
        <w:tc>
          <w:tcPr>
            <w:tcW w:type="dxa" w:w="3024"/>
          </w:tcPr>
          <w:p>
            <w:r>
              <w:rPr>
                <w:rFonts w:ascii="Times New Roman" w:hAnsi="Times New Roman"/>
                <w:sz w:val="20"/>
              </w:rPr>
              <w:t>HOCH</w:t>
            </w:r>
          </w:p>
        </w:tc>
      </w:tr>
      <w:tr>
        <w:tc>
          <w:tcPr>
            <w:tcW w:type="dxa" w:w="3024"/>
          </w:tcPr>
          <w:p>
            <w:r>
              <w:rPr>
                <w:rFonts w:ascii="Times New Roman" w:hAnsi="Times New Roman"/>
                <w:sz w:val="20"/>
              </w:rPr>
              <w:t>Befragung RA Bohlmann</w:t>
            </w:r>
          </w:p>
        </w:tc>
        <w:tc>
          <w:tcPr>
            <w:tcW w:type="dxa" w:w="3024"/>
          </w:tcPr>
          <w:p>
            <w:r>
              <w:rPr>
                <w:rFonts w:ascii="Times New Roman" w:hAnsi="Times New Roman"/>
                <w:sz w:val="20"/>
              </w:rPr>
              <w:t>Noch nicht erfolgt</w:t>
            </w:r>
          </w:p>
        </w:tc>
        <w:tc>
          <w:tcPr>
            <w:tcW w:type="dxa" w:w="3024"/>
          </w:tcPr>
          <w:p>
            <w:r>
              <w:rPr>
                <w:rFonts w:ascii="Times New Roman" w:hAnsi="Times New Roman"/>
                <w:sz w:val="20"/>
              </w:rPr>
              <w:t>HOCH</w:t>
            </w:r>
          </w:p>
        </w:tc>
      </w:tr>
      <w:tr>
        <w:tc>
          <w:tcPr>
            <w:tcW w:type="dxa" w:w="3024"/>
          </w:tcPr>
          <w:p>
            <w:r>
              <w:rPr>
                <w:rFonts w:ascii="Times New Roman" w:hAnsi="Times New Roman"/>
                <w:sz w:val="20"/>
              </w:rPr>
              <w:t>HDI Versicherung — Schadensmeldung</w:t>
            </w:r>
          </w:p>
        </w:tc>
        <w:tc>
          <w:tcPr>
            <w:tcW w:type="dxa" w:w="3024"/>
          </w:tcPr>
          <w:p>
            <w:r>
              <w:rPr>
                <w:rFonts w:ascii="Times New Roman" w:hAnsi="Times New Roman"/>
                <w:sz w:val="20"/>
              </w:rPr>
              <w:t>In Vorbereitung</w:t>
            </w:r>
          </w:p>
        </w:tc>
        <w:tc>
          <w:tcPr>
            <w:tcW w:type="dxa" w:w="3024"/>
          </w:tcPr>
          <w:p>
            <w:r>
              <w:rPr>
                <w:rFonts w:ascii="Times New Roman" w:hAnsi="Times New Roman"/>
                <w:sz w:val="20"/>
              </w:rPr>
              <w:t>MITTEL</w:t>
            </w:r>
          </w:p>
        </w:tc>
      </w:tr>
      <w:tr>
        <w:tc>
          <w:tcPr>
            <w:tcW w:type="dxa" w:w="3024"/>
          </w:tcPr>
          <w:p>
            <w:r>
              <w:rPr>
                <w:rFonts w:ascii="Times New Roman" w:hAnsi="Times New Roman"/>
                <w:sz w:val="20"/>
              </w:rPr>
              <w:t>Widerspruch RAK-Rüge</w:t>
            </w:r>
          </w:p>
        </w:tc>
        <w:tc>
          <w:tcPr>
            <w:tcW w:type="dxa" w:w="3024"/>
          </w:tcPr>
          <w:p>
            <w:r>
              <w:rPr>
                <w:rFonts w:ascii="Times New Roman" w:hAnsi="Times New Roman"/>
                <w:sz w:val="20"/>
              </w:rPr>
              <w:t>Eingelegt; Entscheidung ausstehend</w:t>
            </w:r>
          </w:p>
        </w:tc>
        <w:tc>
          <w:tcPr>
            <w:tcW w:type="dxa" w:w="3024"/>
          </w:tcPr>
          <w:p>
            <w:r>
              <w:rPr>
                <w:rFonts w:ascii="Times New Roman" w:hAnsi="Times New Roman"/>
                <w:sz w:val="20"/>
              </w:rPr>
              <w:t>MITTEL</w:t>
            </w:r>
          </w:p>
        </w:tc>
      </w:tr>
      <w:tr>
        <w:tc>
          <w:tcPr>
            <w:tcW w:type="dxa" w:w="3024"/>
          </w:tcPr>
          <w:p>
            <w:r>
              <w:rPr>
                <w:rFonts w:ascii="Times New Roman" w:hAnsi="Times New Roman"/>
                <w:sz w:val="20"/>
              </w:rPr>
              <w:t>BaFin-Stellungnahme</w:t>
            </w:r>
          </w:p>
        </w:tc>
        <w:tc>
          <w:tcPr>
            <w:tcW w:type="dxa" w:w="3024"/>
          </w:tcPr>
          <w:p>
            <w:r>
              <w:rPr>
                <w:rFonts w:ascii="Times New Roman" w:hAnsi="Times New Roman"/>
                <w:sz w:val="20"/>
              </w:rPr>
              <w:t>In Bearbeitung; Frist 30.04.2026</w:t>
            </w:r>
          </w:p>
        </w:tc>
        <w:tc>
          <w:tcPr>
            <w:tcW w:type="dxa" w:w="3024"/>
          </w:tcPr>
          <w:p>
            <w:r>
              <w:rPr>
                <w:rFonts w:ascii="Times New Roman" w:hAnsi="Times New Roman"/>
                <w:sz w:val="20"/>
              </w:rPr>
              <w:t>HOCH</w:t>
            </w:r>
          </w:p>
        </w:tc>
      </w:tr>
      <w:tr>
        <w:tc>
          <w:tcPr>
            <w:tcW w:type="dxa" w:w="3024"/>
          </w:tcPr>
          <w:p>
            <w:r>
              <w:rPr>
                <w:rFonts w:ascii="Times New Roman" w:hAnsi="Times New Roman"/>
                <w:sz w:val="20"/>
              </w:rPr>
              <w:t>Bestellung neuer AML-Officer</w:t>
            </w:r>
          </w:p>
        </w:tc>
        <w:tc>
          <w:tcPr>
            <w:tcW w:type="dxa" w:w="3024"/>
          </w:tcPr>
          <w:p>
            <w:r>
              <w:rPr>
                <w:rFonts w:ascii="Times New Roman" w:hAnsi="Times New Roman"/>
                <w:sz w:val="20"/>
              </w:rPr>
              <w:t>In Vorbereitung</w:t>
            </w:r>
          </w:p>
        </w:tc>
        <w:tc>
          <w:tcPr>
            <w:tcW w:type="dxa" w:w="3024"/>
          </w:tcPr>
          <w:p>
            <w:r>
              <w:rPr>
                <w:rFonts w:ascii="Times New Roman" w:hAnsi="Times New Roman"/>
                <w:sz w:val="20"/>
              </w:rPr>
              <w:t>HOCH</w:t>
            </w:r>
          </w:p>
        </w:tc>
      </w:tr>
      <w:tr>
        <w:tc>
          <w:tcPr>
            <w:tcW w:type="dxa" w:w="3024"/>
          </w:tcPr>
          <w:p>
            <w:r>
              <w:rPr>
                <w:rFonts w:ascii="Times New Roman" w:hAnsi="Times New Roman"/>
                <w:sz w:val="20"/>
              </w:rPr>
              <w:t>Sanktionsscreening-Tool</w:t>
            </w:r>
          </w:p>
        </w:tc>
        <w:tc>
          <w:tcPr>
            <w:tcW w:type="dxa" w:w="3024"/>
          </w:tcPr>
          <w:p>
            <w:r>
              <w:rPr>
                <w:rFonts w:ascii="Times New Roman" w:hAnsi="Times New Roman"/>
                <w:sz w:val="20"/>
              </w:rPr>
              <w:t>Angebot liegt vor</w:t>
            </w:r>
          </w:p>
        </w:tc>
        <w:tc>
          <w:tcPr>
            <w:tcW w:type="dxa" w:w="3024"/>
          </w:tcPr>
          <w:p>
            <w:r>
              <w:rPr>
                <w:rFonts w:ascii="Times New Roman" w:hAnsi="Times New Roman"/>
                <w:sz w:val="20"/>
              </w:rPr>
              <w:t>HOCH</w:t>
            </w:r>
          </w:p>
        </w:tc>
      </w:tr>
      <w:tr>
        <w:tc>
          <w:tcPr>
            <w:tcW w:type="dxa" w:w="3024"/>
          </w:tcPr>
          <w:p>
            <w:r>
              <w:rPr>
                <w:rFonts w:ascii="Times New Roman" w:hAnsi="Times New Roman"/>
                <w:sz w:val="20"/>
              </w:rPr>
              <w:t>Neue Risikoanalyse § 5 GwG</w:t>
            </w:r>
          </w:p>
        </w:tc>
        <w:tc>
          <w:tcPr>
            <w:tcW w:type="dxa" w:w="3024"/>
          </w:tcPr>
          <w:p>
            <w:r>
              <w:rPr>
                <w:rFonts w:ascii="Times New Roman" w:hAnsi="Times New Roman"/>
                <w:sz w:val="20"/>
              </w:rPr>
              <w:t>Beauftragung ausstehend</w:t>
            </w:r>
          </w:p>
        </w:tc>
        <w:tc>
          <w:tcPr>
            <w:tcW w:type="dxa" w:w="3024"/>
          </w:tcPr>
          <w:p>
            <w:r>
              <w:rPr>
                <w:rFonts w:ascii="Times New Roman" w:hAnsi="Times New Roman"/>
                <w:sz w:val="20"/>
              </w:rPr>
              <w:t>MITTEL</w:t>
            </w:r>
          </w:p>
        </w:tc>
      </w:tr>
    </w:tbl>
    <w:p/>
    <w:p>
      <w:pPr>
        <w:pStyle w:val="Heading2"/>
      </w:pPr>
      <w:r>
        <w:rPr>
          <w:rFonts w:ascii="Times New Roman" w:hAnsi="Times New Roman"/>
        </w:rPr>
        <w:t>Schlussbemerkung</w:t>
      </w:r>
    </w:p>
    <w:p>
      <w:pPr>
        <w:jc w:val="left"/>
      </w:pPr>
      <w:r>
        <w:t>Sandhof ist ein erfahrener Rechtsanwalt, der seit fast dreißig Jahren erfolgreich tätig ist. Das vorliegende Verfahren ist das erste ernsthafte berufsrechtliche oder strafrechtliche Problem seiner Laufbahn. Diese persönliche Unbescholtenheit ist im Berufsrecht ein gewichtiges Milderungsmerkmal und im Strafrecht ein Argument gegen eine Verurteilung wegen eines Vorsatzdelikts.</w:t>
      </w:r>
    </w:p>
    <w:p>
      <w:pPr>
        <w:jc w:val="left"/>
      </w:pPr>
      <w:r>
        <w:t>Der Ausgang der Verfahren hängt maßgeblich davon ab, ob es gelingt, den subjektiven Tatbestand des § 261 StGB zu entkräften und im Bußgeldverfahren eine konsistente Remediation nachzuweisen. Beide Ziele sind erreichbar.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