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Beteiligte und Verfahrensübersicht — Akte Pohlmann-Ofenkaess / Erbenstraße Leipzig</w:t>
      </w:r>
    </w:p>
    <w:p>
      <w:pPr>
        <w:jc w:val="left"/>
      </w:pPr>
      <w:r>
        <w:rPr>
          <w:b/>
        </w:rPr>
        <w:t>Aktualisierung:</w:t>
      </w:r>
      <w:r>
        <w:t xml:space="preserve"> 20. März 2026</w:t>
      </w:r>
    </w:p>
    <w:p>
      <w:pPr>
        <w:jc w:val="left"/>
      </w:pPr>
      <w:r>
        <w:rPr>
          <w:b/>
        </w:rPr>
        <w:t>Bearbeiter:</w:t>
      </w:r>
      <w:r>
        <w:t xml:space="preserve"> RA Dr. Heinrich Schweizer-Loberg</w:t>
      </w:r>
    </w:p>
    <w:p/>
    <w:p>
      <w:pPr>
        <w:pStyle w:val="Heading2"/>
      </w:pPr>
      <w:r>
        <w:rPr>
          <w:rFonts w:ascii="Times New Roman" w:hAnsi="Times New Roman"/>
        </w:rPr>
        <w:t>1. Mandantin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Brigitte Pohlmann-Ofenkaess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Geboren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 Juli 1973 (52 Jahre)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Wohnanschrift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[vertraulich, Deckblatt]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Unternehmen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Pohlmanns Suppentopf GmbH &amp; Co. KG, HRB 38812 AG Leipzig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Komplementär-GmbH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Pohlmanns Suppentopf Verwaltungs-GmbH, HRB 39004 AG Leipzig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Funktion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Alleingesellschafterin, Geschäftsführerin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Filialen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Leipzig-Gohlis, Leipzig-Schleußig, Leipzig-Lindenau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Geplante Filiale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Leipzig-Connewitz, Erbenstraße 88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Telefon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[vertraulich]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b.pohlmann@suppentopf-leipzig.de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Gegenparteien und sonstige Beteiligte</w:t>
      </w:r>
    </w:p>
    <w:p>
      <w:pPr>
        <w:pStyle w:val="Heading3"/>
      </w:pPr>
      <w:r>
        <w:rPr>
          <w:rFonts w:ascii="Times New Roman" w:hAnsi="Times New Roman"/>
        </w:rPr>
        <w:t>2.1 Friedhelm Ratschke — Vermieter / Verpächter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Friedhelm Ratschke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Wohnanschrift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Markkleeberg, Rietschkestraße 14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Funktion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Eigentümer Ladenlokal Erbenstraße 88, Leipzig-Connewitz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Prozessbevollmächtigter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 Thomas Klüpfel, Kanzlei Klüpfel &amp; Naber, Leipzig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Pachtvertrag vom 03.02.2026; bestrittene Anfechtung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LG Leipzig 4 O 188/26 (Pachtanfechtungsklage)</w:t>
            </w:r>
          </w:p>
        </w:tc>
      </w:tr>
    </w:tbl>
    <w:p>
      <w:pPr>
        <w:jc w:val="left"/>
      </w:pPr>
      <w:r>
        <w:t>Ratschke beharrt auf Gültigkeit des Pachtvertrags. Er argumentiert, der Pachtzins von 9.800 EUR sei klar schriftlich niedergelegt und die Mandantin sei erfahrene Kauffrau; ein Erklärungsirrtum scheide aus. Ferner rügt er Verspätung der Anfechtungserklärung (§ 121 BGB): Die Anfechtungserklärung sei am 20. März 2026 — also 45 Tage nach Vertragsschluss — zugegangen; dies sei angesichts der geschäftlichen Erfahrung der Mandantin nicht mehr „unverzüglich".</w:t>
      </w:r>
    </w:p>
    <w:p>
      <w:pPr>
        <w:pStyle w:val="Heading3"/>
      </w:pPr>
      <w:r>
        <w:rPr>
          <w:rFonts w:ascii="Times New Roman" w:hAnsi="Times New Roman"/>
        </w:rPr>
        <w:t>2.2 Containerlogistik Meißen GmbH — Vertragspartner Container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Firma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Containerlogistik Meißen GmbH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Anschrift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Industriestraße 12, 01662 Meißen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Kontaktperson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Bernhard Schöttke (Vertriebsleiter)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Containerbestellung 22.000 EUR durch Praktikant Kevin Lübbers ohne Vollmacht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AG Leipzig 105 C 4188/26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Schwebende Unwirksamkeit § 177 BGB; Garantenhaftung Lübbers § 179 BGB</w:t>
            </w:r>
          </w:p>
        </w:tc>
      </w:tr>
    </w:tbl>
    <w:p>
      <w:pPr>
        <w:jc w:val="left"/>
      </w:pPr>
      <w:r>
        <w:t>Die GmbH besteht auf Genehmigung oder Vertragserfüllung; hilfsweise nimmt sie Lübbers persönlich auf Schadensersatz in Anspruch (§ 179 Abs. 1 BGB).</w:t>
      </w:r>
    </w:p>
    <w:p>
      <w:pPr>
        <w:pStyle w:val="Heading3"/>
      </w:pPr>
      <w:r>
        <w:rPr>
          <w:rFonts w:ascii="Times New Roman" w:hAnsi="Times New Roman"/>
        </w:rPr>
        <w:t>2.3 Kevin Lübbers — Praktikant / falsus procurator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Kevin Lübbers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Funktion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Auszubildender (1. Ausbildungsjahr, Bürokaufmann)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 Jahre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Vollmacht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schriftliche Vollmacht für Containerbestellung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Haftungsrisiko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179 Abs. 1 BGB (Schadensersatz oder Erfüllung)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Besonderheit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Minderjährigkeit: § 179 Abs. 3 S. 2 BGB Haftungsausschluss bei mangelndem Verschuldensbewusstsein?</w:t>
            </w:r>
          </w:p>
        </w:tc>
      </w:tr>
    </w:tbl>
    <w:p>
      <w:pPr>
        <w:jc w:val="left"/>
      </w:pPr>
      <w:r>
        <w:t>Hinweis: Bei Minderjährigkeit des falsus procurator ist § 179 Abs. 3 S. 2 BGB zu beachten: Der Minderjährige haftet nicht über sein vorhandenes Vermögen hinaus, wenn er bei Vertragsschluss die Vollmachtslosigkeit nicht kannte oder kennen musste. Intern zu prüfen, ob Lübbers arglos handelte.</w:t>
      </w:r>
    </w:p>
    <w:p>
      <w:pPr>
        <w:pStyle w:val="Heading3"/>
      </w:pPr>
      <w:r>
        <w:rPr>
          <w:rFonts w:ascii="Times New Roman" w:hAnsi="Times New Roman"/>
        </w:rPr>
        <w:t>2.4 Convotherm Elektrogeräte GmbH — Lieferant Industrieöfen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Firma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Convotherm Elektrogeräte GmbH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Anschrift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Talstraße 35, 87600 Kaufbeuren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Offene Kaufpreisrate 44.000 EUR; Eigentumsvorbehalt; Weitervräußerung 3 Öfen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OLG Dresden 12 U 22/26 (Berufung)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Eigentumsvorbehalt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449 BGB (einfacher Eigentumsvorbehalt); Streit: verlängerter EV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Relevante Normen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§§ 929, 932 BGB (gutgläubiger Erwerb); § 184 BGB (Genehmigungsrückwirkung)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2.5 Volker Ammenwald — Steuerberater (nicht mehr aktiv)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Volker Ammenwald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Funktion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Ehemaliger Steuerberater der GmbH (bis 2023)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Problem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Hat im Februar 2026 namens der GmbH eine Erklärung gegenüber dem Finanzamt abgegeben — ob Vollmacht noch bestand, ist ungeklärt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Normen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§§ 167, 168, 170, 173 BGB (Innenvollmacht, Erlöschensgründe; Anscheinsvollmacht)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Steuerberaterkammer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Kammer Sachsen (Registernr. StB-SA 00418)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2.6 Florian Pohlmann — Sohn der Mandantin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Florian Pohlmann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Verhältnis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Sohn von Brigitte Pohlmann-Ofenkaess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Sachverhalt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Erhielt Restaurantbetrieb „Suppentopf Lindenau" im Wege vorweggenommener Erbfolge (Schenkung 01.09.2025); hat Betriebskonzept an Konkurrenzunternehmen weitergegeben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Normen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530 BGB (Widerruf wegen groben Undanks); § 531 BGB (Verfahren)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Klärungsbedarf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Frist § 532 BGB beachten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Verfahrensübersicht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Gericht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Aktenzeichen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Gegenstand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LG Leipzig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 O 188/26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Pachtanfechtung Erbenstraße 88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 vorzubereiten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 Leipzig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105 C 4188/26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Containerbestellung Meißen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Streitig; Klage Meißen GmbH eingegangen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OLG Dresden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 U 22/26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Convotherm-Öfen (Berufung)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Vorinstanz LG Leipzig; Streitwert 44.000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Vollmachtslage</w:t>
      </w:r>
    </w:p>
    <w:p>
      <w:pPr>
        <w:pStyle w:val="ListBullet"/>
      </w:pPr>
      <w:r>
        <w:t>Mandatsvollmacht unterzeichnet 14.03.2026 (Original in Akte, Kopie an Mandantin)</w:t>
      </w:r>
    </w:p>
    <w:p>
      <w:pPr>
        <w:pStyle w:val="ListBullet"/>
      </w:pPr>
      <w:r>
        <w:t>Prozeßvollmacht für LG Leipzig noch gesondert zu erstellen (§ 78 ZPO)</w:t>
      </w:r>
    </w:p>
    <w:p>
      <w:pPr>
        <w:pStyle w:val="ListBullet"/>
      </w:pPr>
      <w:r>
        <w:t>Prozeßvollmacht für OLG Dresden: RA Dr. Schweizer-Loberg; Korrespondenz mit Gegenseite läuft</w:t>
      </w:r>
    </w:p>
    <w:p>
      <w:pPr>
        <w:jc w:val="left"/>
      </w:pPr>
      <w:r>
        <w:rPr>
          <w:b/>
        </w:rPr>
        <w:t>Quellen:</w:t>
      </w:r>
    </w:p>
    <w:p>
      <w:pPr>
        <w:jc w:val="left"/>
      </w:pPr>
      <w:r>
        <w:t>§§ 167-173 BGB (Vollmacht): https://dejure.org/gesetze/BGB/167.html</w:t>
      </w:r>
    </w:p>
    <w:p>
      <w:pPr>
        <w:jc w:val="left"/>
      </w:pPr>
      <w:r>
        <w:t>§ 179 BGB (Haftung falsus procurator): https://dejure.org/gesetze/BGB/179.html</w:t>
      </w:r>
    </w:p>
    <w:p>
      <w:pPr>
        <w:jc w:val="left"/>
      </w:pPr>
      <w:r>
        <w:t>§ 530 BGB (Widerruf Schenkung): https://dejure.org/gesetze/BGB/530.html</w:t>
      </w:r>
    </w:p>
    <w:p>
      <w:pPr>
        <w:jc w:val="left"/>
      </w:pPr>
      <w:r>
        <w:t>BGH NJW 2017, 1169 (Anscheinsvollmacht, Rechtsscheinhaftung)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