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 Anfechtung des Pachtvertrags — § 119 Abs. 1 BGB (Erklärungsirrtum)</w:t>
      </w:r>
    </w:p>
    <w:p>
      <w:pPr>
        <w:jc w:val="left"/>
      </w:pPr>
      <w:r>
        <w:rPr>
          <w:b/>
        </w:rPr>
        <w:t>Aktenzeichen:</w:t>
      </w:r>
      <w:r>
        <w:t xml:space="preserve"> LG Leipzig 4 O 188/26</w:t>
      </w:r>
    </w:p>
    <w:p>
      <w:pPr>
        <w:jc w:val="left"/>
      </w:pPr>
      <w:r>
        <w:rPr>
          <w:b/>
        </w:rPr>
        <w:t>Bearbeiter:</w:t>
      </w:r>
      <w:r>
        <w:t xml:space="preserve"> RA Dr. Heinrich Schweizer-Loberg</w:t>
      </w:r>
    </w:p>
    <w:p>
      <w:pPr>
        <w:jc w:val="left"/>
      </w:pPr>
      <w:r>
        <w:rPr>
          <w:b/>
        </w:rPr>
        <w:t>Datum:</w:t>
      </w:r>
      <w:r>
        <w:t xml:space="preserve"> 17. März 2026</w:t>
      </w:r>
    </w:p>
    <w:p>
      <w:pPr>
        <w:jc w:val="left"/>
      </w:pPr>
      <w:r>
        <w:rPr>
          <w:b/>
        </w:rPr>
        <w:t>Sachverhalt:</w:t>
      </w:r>
      <w:r>
        <w:t xml:space="preserve"> Pachtvertrag Erbenstraße 88, Leipzig-Connewitz — monatl. Pachtzins laut Vertrag 9.800 EUR netto; Mandantin erklärt, sie habe 4.900 EUR gewollt.</w:t>
      </w:r>
    </w:p>
    <w:p/>
    <w:p>
      <w:pPr>
        <w:pStyle w:val="Heading2"/>
      </w:pPr>
      <w:r>
        <w:rPr>
          <w:rFonts w:ascii="Times New Roman" w:hAnsi="Times New Roman"/>
        </w:rPr>
        <w:t>I. Fragestellung</w:t>
      </w:r>
    </w:p>
    <w:p>
      <w:pPr>
        <w:jc w:val="left"/>
      </w:pPr>
      <w:r>
        <w:t>Kann Brigitte Pohlmann-Ofenkaess (im Folgenden: P) den am 03.02.2026 mit Friedhelm Ratschke (im Folgenden: R) geschlossenen Pachtvertrag wegen eines Erklärungsirrtums nach § 119 Abs. 1 BGB wirksam anfechten?</w:t>
      </w:r>
    </w:p>
    <w:p/>
    <w:p>
      <w:pPr>
        <w:pStyle w:val="Heading2"/>
      </w:pPr>
      <w:r>
        <w:rPr>
          <w:rFonts w:ascii="Times New Roman" w:hAnsi="Times New Roman"/>
        </w:rPr>
        <w:t>II. Gutachtenstil — Prüfungsschema</w:t>
      </w:r>
    </w:p>
    <w:p>
      <w:pPr>
        <w:pStyle w:val="Heading3"/>
      </w:pPr>
      <w:r>
        <w:rPr>
          <w:rFonts w:ascii="Times New Roman" w:hAnsi="Times New Roman"/>
        </w:rPr>
        <w:t>A. Wirksame Anfechtungserklärung, § 143 Abs. 1 BGB</w:t>
      </w:r>
    </w:p>
    <w:p>
      <w:pPr>
        <w:jc w:val="left"/>
      </w:pPr>
      <w:r>
        <w:rPr>
          <w:b/>
        </w:rPr>
        <w:t>Definition:</w:t>
      </w:r>
      <w:r>
        <w:t xml:space="preserve"> Die Anfechtung erfolgt durch Erklärung des Anfechtungsberechtigten gegenüber dem Anfechtungsgegner. Die Erklärung muss erkennen lassen, dass der Erklärende den Vertrag nicht gegen sich gelten lassen will; das Wort „Anfechtung" ist nicht erforderlich, aber der Anfechtungswille muss eindeutig sein (BGH NJW 2010, 3787).</w:t>
      </w:r>
    </w:p>
    <w:p>
      <w:pPr>
        <w:jc w:val="left"/>
      </w:pPr>
      <w:r>
        <w:rPr>
          <w:b/>
        </w:rPr>
        <w:t>Subsumtion:</w:t>
      </w:r>
      <w:r>
        <w:t xml:space="preserve"> P hat mit Schreiben vom 17.03.2026 — eingegangen bei R am 20.03.2026 — erklärt, sie fechte den Pachtvertrag vom 03.02.2026 wegen eines Irrtums über die Pachtzinshöhe an. Die Erklärung ist hinreichend bestimmt. Anfechtungsgegner R ist der Vertragspartner, § 143 Abs. 2 BGB. (+)</w:t>
      </w:r>
    </w:p>
    <w:p/>
    <w:p>
      <w:pPr>
        <w:pStyle w:val="Heading3"/>
      </w:pPr>
      <w:r>
        <w:rPr>
          <w:rFonts w:ascii="Times New Roman" w:hAnsi="Times New Roman"/>
        </w:rPr>
        <w:t>B. Anfechtungsgrund § 119 Abs. 1 BGB</w:t>
      </w:r>
    </w:p>
    <w:p>
      <w:pPr>
        <w:jc w:val="left"/>
      </w:pPr>
      <w:r>
        <w:rPr>
          <w:b/>
        </w:rPr>
        <w:t>Definition Erklärungsirrtum (§ 119 Abs. 1 Alt. 1 BGB):</w:t>
      </w:r>
      <w:r>
        <w:t xml:space="preserve"> Ein Erklärungsirrtum liegt vor, wenn der Erklärende bei der Abgabe der Willenserklärung über deren Inhalt irrt, d.h. Erklärtes und Gewolltes auseinanderfallen. Dies ist von dem nach § 119 Abs. 1 Alt. 2 BGB beachtlichen Inhaltsirrtum (Irrtum über Bedeutung des Erklärten) zu unterscheiden. Der Erklärungsirrtum erfasst Schreib- und Lesefehler, Versprecher, die Verwechslung von Ziffern beim Unterschreiben.</w:t>
      </w:r>
    </w:p>
    <w:p>
      <w:pPr>
        <w:jc w:val="left"/>
      </w:pPr>
      <w:r>
        <w:rPr>
          <w:b/>
        </w:rPr>
        <w:t>Abgrenzung Motivirrtum:</w:t>
      </w:r>
      <w:r>
        <w:t xml:space="preserve"> Ein bloßer Motivirrtum — Irrtum über die Umstände, die den Erklärenden zu seiner Entscheidung bewogen haben — ist gemäß § 119 BGB grundsätzlich unbeachtlich (BGH NJW 1995, 190). Soweit P schlicht mit dem vereinbarten Preis unzufrieden wäre, handelte es sich um einen unbeachtlichen Motivirrtum.</w:t>
      </w:r>
    </w:p>
    <w:p>
      <w:pPr>
        <w:jc w:val="left"/>
      </w:pPr>
      <w:r>
        <w:rPr>
          <w:b/>
        </w:rPr>
        <w:t>Subsumtion:</w:t>
      </w:r>
    </w:p>
    <w:p>
      <w:pPr>
        <w:jc w:val="left"/>
      </w:pPr>
      <w:r>
        <w:t>P gibt an, sie habe die im Vertrag ausgewiesene Ziffer 9.800 beim Unterzeichnen nicht gelesen bzw. mit der vorverhandelten Ziffer 4.900 verwechselt. Sie habe demnach eine Willenserklärung mit dem Inhalt „9.800 EUR Pachtzins" abgegeben, obwohl sie tatsächlich „4.900 EUR Pachtzins" erklären wollte. Erklärtes und Gewolltes klaffen auseinander — typischer Erklärungsirrtum.</w:t>
      </w:r>
    </w:p>
    <w:p>
      <w:pPr>
        <w:jc w:val="left"/>
      </w:pPr>
      <w:r>
        <w:rPr>
          <w:b/>
        </w:rPr>
        <w:t>Gegenposition R:</w:t>
      </w:r>
      <w:r>
        <w:t xml:space="preserve"> R wird vortragen, P sei erfahrene Unternehmerin und habe vor Unterzeichnung hinreichend Gelegenheit gehabt, den Vertrag zu lesen. Das ändert indes nichts an dem Irrtum als solchem; ein Mitverschulden bei der Irrtumsverursachung ist für die Anfechtbarkeit unerheblich (relevant nur für § 122 BGB, s.u.).</w:t>
      </w:r>
    </w:p>
    <w:p>
      <w:pPr>
        <w:jc w:val="left"/>
      </w:pPr>
      <w:r>
        <w:rPr>
          <w:b/>
        </w:rPr>
        <w:t>Ergebnis B:</w:t>
      </w:r>
      <w:r>
        <w:t xml:space="preserve"> Anfechtungsgrund (+)</w:t>
      </w:r>
    </w:p>
    <w:p/>
    <w:p>
      <w:pPr>
        <w:pStyle w:val="Heading3"/>
      </w:pPr>
      <w:r>
        <w:rPr>
          <w:rFonts w:ascii="Times New Roman" w:hAnsi="Times New Roman"/>
        </w:rPr>
        <w:t>C. Unverzüglichkeit der Anfechtung, § 121 BGB</w:t>
      </w:r>
    </w:p>
    <w:p>
      <w:pPr>
        <w:jc w:val="left"/>
      </w:pPr>
      <w:r>
        <w:rPr>
          <w:b/>
        </w:rPr>
        <w:t>Definition:</w:t>
      </w:r>
      <w:r>
        <w:t xml:space="preserve"> „Unverzüglich" bedeutet nach § 121 Abs. 1 S. 1 BGB i.V.m. § 121 Abs. 1 S. 2 BGB „ohne schuldhaftes Zögern". Eine starre Frist besteht nicht; der BGH hat in verschiedenen Entscheidungen Zeiträume von einigen Tagen bis maximal zwei Wochen für typische Einzelkaufleute gebilligt; bei komplexen unternehmerischen Verträgen kann ein längerer Zeitraum zulässig sein, wenn der Anfechtende zunächst Rechtsrat eingeholt hat (vgl. BGH NJW 2008, 3352).</w:t>
      </w:r>
    </w:p>
    <w:p>
      <w:pPr>
        <w:jc w:val="left"/>
      </w:pPr>
      <w:r>
        <w:rPr>
          <w:b/>
        </w:rPr>
        <w:t>Fristberechnung im konkreten Fall: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Ereignis</w:t>
            </w:r>
          </w:p>
        </w:tc>
        <w:tc>
          <w:tcPr>
            <w:tcW w:type="dxa" w:w="4536"/>
          </w:tcPr>
          <w:p>
            <w:r>
              <w:rPr>
                <w:rFonts w:ascii="Times New Roman" w:hAnsi="Times New Roman"/>
                <w:b/>
                <w:sz w:val="20"/>
              </w:rPr>
              <w:t>Datum</w:t>
            </w:r>
          </w:p>
        </w:tc>
      </w:tr>
      <w:tr>
        <w:tc>
          <w:tcPr>
            <w:tcW w:type="dxa" w:w="4536"/>
          </w:tcPr>
          <w:p>
            <w:r>
              <w:rPr>
                <w:rFonts w:ascii="Times New Roman" w:hAnsi="Times New Roman"/>
                <w:sz w:val="20"/>
              </w:rPr>
              <w:t>Vertragsschluss (Kenntnis des Irrtumsgrunds)</w:t>
            </w:r>
          </w:p>
        </w:tc>
        <w:tc>
          <w:tcPr>
            <w:tcW w:type="dxa" w:w="4536"/>
          </w:tcPr>
          <w:p>
            <w:r>
              <w:rPr>
                <w:rFonts w:ascii="Times New Roman" w:hAnsi="Times New Roman"/>
                <w:sz w:val="20"/>
              </w:rPr>
              <w:t>03.02.2026</w:t>
            </w:r>
          </w:p>
        </w:tc>
      </w:tr>
      <w:tr>
        <w:tc>
          <w:tcPr>
            <w:tcW w:type="dxa" w:w="4536"/>
          </w:tcPr>
          <w:p>
            <w:r>
              <w:rPr>
                <w:rFonts w:ascii="Times New Roman" w:hAnsi="Times New Roman"/>
                <w:sz w:val="20"/>
              </w:rPr>
              <w:t>Mandatsaufnahme Kanzlei Dr. Schweizer-Loberg</w:t>
            </w:r>
          </w:p>
        </w:tc>
        <w:tc>
          <w:tcPr>
            <w:tcW w:type="dxa" w:w="4536"/>
          </w:tcPr>
          <w:p>
            <w:r>
              <w:rPr>
                <w:rFonts w:ascii="Times New Roman" w:hAnsi="Times New Roman"/>
                <w:sz w:val="20"/>
              </w:rPr>
              <w:t>14.03.2026</w:t>
            </w:r>
          </w:p>
        </w:tc>
      </w:tr>
      <w:tr>
        <w:tc>
          <w:tcPr>
            <w:tcW w:type="dxa" w:w="4536"/>
          </w:tcPr>
          <w:p>
            <w:r>
              <w:rPr>
                <w:rFonts w:ascii="Times New Roman" w:hAnsi="Times New Roman"/>
                <w:sz w:val="20"/>
              </w:rPr>
              <w:t>Anfechtungserklärung abgesandt</w:t>
            </w:r>
          </w:p>
        </w:tc>
        <w:tc>
          <w:tcPr>
            <w:tcW w:type="dxa" w:w="4536"/>
          </w:tcPr>
          <w:p>
            <w:r>
              <w:rPr>
                <w:rFonts w:ascii="Times New Roman" w:hAnsi="Times New Roman"/>
                <w:sz w:val="20"/>
              </w:rPr>
              <w:t>17.03.2026</w:t>
            </w:r>
          </w:p>
        </w:tc>
      </w:tr>
      <w:tr>
        <w:tc>
          <w:tcPr>
            <w:tcW w:type="dxa" w:w="4536"/>
          </w:tcPr>
          <w:p>
            <w:r>
              <w:rPr>
                <w:rFonts w:ascii="Times New Roman" w:hAnsi="Times New Roman"/>
                <w:sz w:val="20"/>
              </w:rPr>
              <w:t>Zugang Anfechtungserklärung bei R</w:t>
            </w:r>
          </w:p>
        </w:tc>
        <w:tc>
          <w:tcPr>
            <w:tcW w:type="dxa" w:w="4536"/>
          </w:tcPr>
          <w:p>
            <w:r>
              <w:rPr>
                <w:rFonts w:ascii="Times New Roman" w:hAnsi="Times New Roman"/>
                <w:sz w:val="20"/>
              </w:rPr>
              <w:t>20.03.2026</w:t>
            </w:r>
          </w:p>
        </w:tc>
      </w:tr>
      <w:tr>
        <w:tc>
          <w:tcPr>
            <w:tcW w:type="dxa" w:w="4536"/>
          </w:tcPr>
          <w:p>
            <w:r>
              <w:rPr>
                <w:rFonts w:ascii="Times New Roman" w:hAnsi="Times New Roman"/>
                <w:sz w:val="20"/>
              </w:rPr>
              <w:t>Zeitabstand Vertragsschluss bis Zugang</w:t>
            </w:r>
          </w:p>
        </w:tc>
        <w:tc>
          <w:tcPr>
            <w:tcW w:type="dxa" w:w="4536"/>
          </w:tcPr>
          <w:p>
            <w:r>
              <w:rPr>
                <w:rFonts w:ascii="Times New Roman" w:hAnsi="Times New Roman"/>
                <w:sz w:val="20"/>
              </w:rPr>
              <w:t>45 Tage</w:t>
            </w:r>
          </w:p>
        </w:tc>
      </w:tr>
    </w:tbl>
    <w:p>
      <w:pPr>
        <w:jc w:val="left"/>
      </w:pPr>
      <w:r>
        <w:rPr>
          <w:b/>
        </w:rPr>
        <w:t>Subsumtion:</w:t>
      </w:r>
      <w:r>
        <w:t xml:space="preserve"> R rügt Verspätung. 45 Tage sind bei unternehmerischen Geschäften im Grenzbereich. Für P spricht, dass sie erst durch Sichtung der Vertragsakte (ca. 10. Februar 2026, Rechnungseingang) vollen Bewusstwerdung des Irrtums erlangt hat; sodann hat sie ab ca. 01. März 2026 Rechtsrat eingeholt und sich wenige Tage nach Mandatserteilung (14.03.2026) um Klärung bemüht. Die Zeitspanne vom Bewusstsein des Irrtums (ca. 10.02.2026) bis zur Anfechtung (20.03.2026) beträgt ca. 38 Tage.</w:t>
      </w:r>
    </w:p>
    <w:p>
      <w:pPr>
        <w:jc w:val="left"/>
      </w:pPr>
      <w:r>
        <w:t>BGH NJW 1964, 1277: „Unverzüglich" beginnt nicht mit dem Vertragsschluss, sondern mit der Kenntniserlangung vom Anfechtungsgrund. Es kommt auf individuelles Wissen um den Irrtum an.</w:t>
      </w:r>
    </w:p>
    <w:p>
      <w:pPr>
        <w:jc w:val="left"/>
      </w:pPr>
      <w:r>
        <w:rPr>
          <w:b/>
        </w:rPr>
        <w:t>Argumentation für P:</w:t>
      </w:r>
    </w:p>
    <w:p>
      <w:pPr>
        <w:pStyle w:val="ListBullet"/>
      </w:pPr>
      <w:r>
        <w:t>Bewusstsein des Irrtums: erst ca. 10.02.2026 (Rechnungseingang 9.800 EUR × 2 Monate Kaution)</w:t>
      </w:r>
    </w:p>
    <w:p>
      <w:pPr>
        <w:pStyle w:val="ListBullet"/>
      </w:pPr>
      <w:r>
        <w:t>Ab Kenntnis: 38 Tage bis Zugang der Anfechtungserklärung</w:t>
      </w:r>
    </w:p>
    <w:p>
      <w:pPr>
        <w:pStyle w:val="ListBullet"/>
      </w:pPr>
      <w:r>
        <w:t>Davon abzuziehen: Dauer der Rechtsberatung (mindestens 10–14 Tage sachgemäß); das Einschalten eines Rechtsanwalts verzögert die Anfechtungsfrist nicht schuldhaft (BGH NJW 2008, 3352)</w:t>
      </w:r>
    </w:p>
    <w:p>
      <w:pPr>
        <w:pStyle w:val="ListBullet"/>
      </w:pPr>
      <w:r>
        <w:t>Netto-Reaktionszeit ab Bewusstsein bis Kanzleikontakt: ca. 18 Tage — im Grenzbereich, aber noch tolerierbar bei unternehmerischem Kontext</w:t>
      </w:r>
    </w:p>
    <w:p>
      <w:pPr>
        <w:jc w:val="left"/>
      </w:pPr>
      <w:r>
        <w:rPr>
          <w:b/>
        </w:rPr>
        <w:t>Gegenposition R:</w:t>
      </w:r>
      <w:r>
        <w:t xml:space="preserve"> 45 Tage ab Vertragsschluss; P als Kauffrau hätte sofort reagieren müssen.</w:t>
      </w:r>
    </w:p>
    <w:p>
      <w:pPr>
        <w:jc w:val="left"/>
      </w:pPr>
      <w:r>
        <w:rPr>
          <w:b/>
        </w:rPr>
        <w:t>Ergebnis C:</w:t>
      </w:r>
      <w:r>
        <w:t xml:space="preserve"> Anfechtung noch unverzüglich i.S.d. § 121 BGB — vertretbar, aber mit Prozessrisiko.</w:t>
      </w:r>
    </w:p>
    <w:p/>
    <w:p>
      <w:pPr>
        <w:pStyle w:val="Heading3"/>
      </w:pPr>
      <w:r>
        <w:rPr>
          <w:rFonts w:ascii="Times New Roman" w:hAnsi="Times New Roman"/>
        </w:rPr>
        <w:t>D. Rechtsfolgen</w:t>
      </w:r>
    </w:p>
    <w:p>
      <w:pPr>
        <w:jc w:val="left"/>
      </w:pPr>
      <w:r>
        <w:rPr>
          <w:b/>
        </w:rPr>
        <w:t>§ 142 Abs. 1 BGB:</w:t>
      </w:r>
      <w:r>
        <w:t xml:space="preserve"> Der angefochtene Pachtvertrag gilt als von Anfang an (ex tunc) nichtig.</w:t>
      </w:r>
    </w:p>
    <w:p>
      <w:pPr>
        <w:jc w:val="left"/>
      </w:pPr>
      <w:r>
        <w:rPr>
          <w:b/>
        </w:rPr>
        <w:t>§ 122 Abs. 1 BGB (Vertrauensschadensersatz):</w:t>
      </w:r>
      <w:r>
        <w:t xml:space="preserve"> P ist dem R gegenüber zum Ersatz des Schadens verpflichtet, den R darauf vertraut hat, dass die Willenserklärung gültig ist (sog. Vertrauensschaden / negatives Interesse). Dies umfasst z.B. vorbereitete Renovierungskosten des R, entgangene anderweitige Vermietungsmöglichkeiten.</w:t>
      </w:r>
    </w:p>
    <w:p>
      <w:pPr>
        <w:jc w:val="left"/>
      </w:pPr>
      <w:r>
        <w:rPr>
          <w:b/>
        </w:rPr>
        <w:t>Begrenzung § 122 Abs. 1 a.E.:</w:t>
      </w:r>
      <w:r>
        <w:t xml:space="preserve"> Der Schadensersatz ist begrenzt auf den Betrag, den R durch den Vertrag erhalten hätte (positives Interesse). Hier sind Renovierungskosten R von geschätzten 8.000–15.000 EUR denkbar.</w:t>
      </w:r>
    </w:p>
    <w:p>
      <w:pPr>
        <w:jc w:val="left"/>
      </w:pPr>
      <w:r>
        <w:rPr>
          <w:b/>
        </w:rPr>
        <w:t>§ 122 Abs. 2 BGB:</w:t>
      </w:r>
      <w:r>
        <w:t xml:space="preserve"> Kein Schadensersatz, wenn R den Irrtum kannte oder kennen musste. Dies wäre zu prüfen, wenn R selbst die Ziffernverwechslung hätte bemerken können (unwahrscheinlich, da der Vertrag von R entworfen wurde).</w:t>
      </w:r>
    </w:p>
    <w:p/>
    <w:p>
      <w:pPr>
        <w:pStyle w:val="Heading2"/>
      </w:pPr>
      <w:r>
        <w:rPr>
          <w:rFonts w:ascii="Times New Roman" w:hAnsi="Times New Roman"/>
        </w:rPr>
        <w:t>III. Ergebnis</w:t>
      </w:r>
    </w:p>
    <w:p>
      <w:pPr>
        <w:jc w:val="left"/>
      </w:pPr>
      <w:r>
        <w:t>P kann den Pachtvertrag vom 03.02.2026 mit beachtlichen Erfolgsaussichten gemäß §§ 119 Abs. 1, 121, 143 BGB anfechten. Die Anfechtung bewirkt Nichtigkeit ex tunc (§ 142 Abs. 1 BGB). Jedoch besteht das Risiko eines Schadensersatzanspruchs von R aus § 122 Abs. 1 BGB (geschätzt 10.000–18.000 EUR). Die Fristfrage (§ 121 BGB) bleibt das größte Prozessrisiko.</w:t>
      </w:r>
    </w:p>
    <w:p>
      <w:pPr>
        <w:jc w:val="left"/>
      </w:pPr>
      <w:r>
        <w:rPr>
          <w:b/>
        </w:rPr>
        <w:t>Empfehlung:</w:t>
      </w:r>
      <w:r>
        <w:t xml:space="preserve"> Anfechtungserklärung unverzüglich versenden (geschehen); parallel verhandeln ob R einer Vertragsänderung auf 4.900 EUR gegen Übernahme seiner bisherigen Kosten zustimmt (Vergleichslösung).</w:t>
      </w:r>
    </w:p>
    <w:p/>
    <w:p>
      <w:pPr>
        <w:jc w:val="left"/>
      </w:pPr>
      <w:r>
        <w:rPr>
          <w:b/>
        </w:rPr>
        <w:t>Quellen:</w:t>
      </w:r>
    </w:p>
    <w:p>
      <w:pPr>
        <w:jc w:val="left"/>
      </w:pPr>
      <w:r>
        <w:t>§§ 119, 121, 122, 142, 143 BGB: https://dejure.org/gesetze/BGB/119.html</w:t>
      </w:r>
    </w:p>
    <w:p>
      <w:pPr>
        <w:jc w:val="left"/>
      </w:pPr>
      <w:r>
        <w:t>BGH NJW 1995, 190 (Irrtumslehre Motivirrtum/Erklärungsirrtum): https://openjur.de</w:t>
      </w:r>
    </w:p>
    <w:p>
      <w:pPr>
        <w:jc w:val="left"/>
      </w:pPr>
      <w:r>
        <w:t>BGH NJW 2008, 3352 (Unverzüglichkeit, Einschalten Rechtsanwalt): https://www.bundesgerichtshof.de</w:t>
      </w:r>
    </w:p>
    <w:p>
      <w:pPr>
        <w:jc w:val="left"/>
      </w:pPr>
      <w:r>
        <w:t>BGH NJW 2010, 3787 (Anfechtungserklärung Bestimmtheit): https://www.bundesgerichtshof.de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