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Gutachten: Geschäftsfähigkeit bei Tilidin-Einnahme — §§ 104, 105 Abs. 2 BGB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22. März 2026</w:t>
      </w:r>
    </w:p>
    <w:p>
      <w:pPr>
        <w:jc w:val="left"/>
      </w:pPr>
      <w:r>
        <w:rPr>
          <w:b/>
        </w:rPr>
        <w:t>Bezug:</w:t>
      </w:r>
      <w:r>
        <w:t xml:space="preserve"> Unterzeichnung Pachtvertrag 03.02.2026; Mandantin unter Einfluss von Tilidin (Opioid-Analgetikum)</w:t>
      </w:r>
    </w:p>
    <w:p/>
    <w:p>
      <w:pPr>
        <w:pStyle w:val="Heading2"/>
      </w:pPr>
      <w:r>
        <w:rPr>
          <w:rFonts w:ascii="Times New Roman" w:hAnsi="Times New Roman"/>
        </w:rPr>
        <w:t>I. Fragestellung</w:t>
      </w:r>
    </w:p>
    <w:p>
      <w:pPr>
        <w:jc w:val="left"/>
      </w:pPr>
      <w:r>
        <w:t>War Brigitte Pohlmann-Ofenkaess (P) bei Unterzeichnung des Pachtvertrags am 03.02.2026 infolge der Tilidin-Einnahme vorübergehend geschäftsunfähig i.S.v. § 105 Abs. 2 BGB, mit der Folge, dass die Willenserklärung von Anfang an nichtig wäre (ohne Anfechtung, ohne § 122 BGB-Ersatzpflicht)?</w:t>
      </w:r>
    </w:p>
    <w:p/>
    <w:p>
      <w:pPr>
        <w:pStyle w:val="Heading2"/>
      </w:pPr>
      <w:r>
        <w:rPr>
          <w:rFonts w:ascii="Times New Roman" w:hAnsi="Times New Roman"/>
        </w:rPr>
        <w:t>II. Rechtliche Grundlagen</w:t>
      </w:r>
    </w:p>
    <w:p>
      <w:pPr>
        <w:pStyle w:val="Heading3"/>
      </w:pPr>
      <w:r>
        <w:rPr>
          <w:rFonts w:ascii="Times New Roman" w:hAnsi="Times New Roman"/>
        </w:rPr>
        <w:t>§ 104 Nr. 2 BGB — Dauernde Geschäftsunfähigkeit</w:t>
      </w:r>
    </w:p>
    <w:p>
      <w:pPr>
        <w:jc w:val="left"/>
      </w:pPr>
      <w:r>
        <w:t>Geschäftsunfähig ist, wer sich in einem dauerhaften Zustand krankhafter Störung der Geistestätigkeit befindet, der die freie Willensbildung ausschließt.</w:t>
      </w:r>
    </w:p>
    <w:p>
      <w:pPr>
        <w:pStyle w:val="Heading3"/>
      </w:pPr>
      <w:r>
        <w:rPr>
          <w:rFonts w:ascii="Times New Roman" w:hAnsi="Times New Roman"/>
        </w:rPr>
        <w:t>§ 105 Abs. 2 BGB — Vorübergehende Störung der Geistestätigkeit</w:t>
      </w:r>
    </w:p>
    <w:p>
      <w:pPr>
        <w:jc w:val="left"/>
      </w:pPr>
      <w:r>
        <w:t>„Nichtig ist auch eine Willenserklärung, die jemand in einem Zustand der vorübergehenden Störung der Geistestätigkeit abgibt, durch den die freie Willensbestimmung ausgeschlossen ist."</w:t>
      </w:r>
    </w:p>
    <w:p>
      <w:pPr>
        <w:jc w:val="left"/>
      </w:pPr>
      <w:r>
        <w:rPr>
          <w:b/>
        </w:rPr>
        <w:t>Tatbestandsvoraussetzungen:</w:t>
      </w:r>
    </w:p>
    <w:p>
      <w:pPr>
        <w:pStyle w:val="ListNumber"/>
      </w:pPr>
      <w:r>
        <w:t>Vorübergehender Zustand — keine Dauerstörung (dann § 104 Nr. 2 BGB);</w:t>
      </w:r>
    </w:p>
    <w:p>
      <w:pPr>
        <w:pStyle w:val="ListNumber"/>
      </w:pPr>
      <w:r>
        <w:t>Störung der Geistestätigkeit — nicht jede Beeinträchtigung genügt; die freie Willensbestimmung muss ausgeschlossen sein (nicht nur erschwert);</w:t>
      </w:r>
    </w:p>
    <w:p>
      <w:pPr>
        <w:pStyle w:val="ListNumber"/>
      </w:pPr>
      <w:r>
        <w:t>Ausschluss freier Willensbestimmung: totaler Ausschluss der Einsichts- und Steuerungsfähigkeit (BGH NJW 1970, 1680; BGH NJW 2018, 2127).</w:t>
      </w:r>
    </w:p>
    <w:p/>
    <w:p>
      <w:pPr>
        <w:pStyle w:val="Heading2"/>
      </w:pPr>
      <w:r>
        <w:rPr>
          <w:rFonts w:ascii="Times New Roman" w:hAnsi="Times New Roman"/>
        </w:rPr>
        <w:t>III. Medizinischer Sachverhalt</w:t>
      </w:r>
    </w:p>
    <w:p>
      <w:pPr>
        <w:jc w:val="left"/>
      </w:pPr>
      <w:r>
        <w:rPr>
          <w:b/>
        </w:rPr>
        <w:t>Medikament:</w:t>
      </w:r>
      <w:r>
        <w:t xml:space="preserve"> Tilidin/Naloxon (Handelsname: z.B. Valoron N retard) — Opioid-Analgetikum der Stufe 3 WHO-Stufenschema; verschrieben von Dr. Petra Holzmann (Orthopädie Leipzig) wegen Bandscheibenvorfall L4/L5, diagnostiziert Januar 2026.</w:t>
      </w:r>
    </w:p>
    <w:p>
      <w:pPr>
        <w:jc w:val="left"/>
      </w:pPr>
      <w:r>
        <w:rPr>
          <w:b/>
        </w:rPr>
        <w:t>Tagesdosis laut Rezept:</w:t>
      </w:r>
      <w:r>
        <w:t xml:space="preserve"> 2 × 50 mg/4 mg Tilidinhydrochlorid/Naloxon retard täglich.</w:t>
      </w:r>
    </w:p>
    <w:p>
      <w:pPr>
        <w:jc w:val="left"/>
      </w:pPr>
      <w:r>
        <w:rPr>
          <w:b/>
        </w:rPr>
        <w:t>Einnahme am 03.02.2026:</w:t>
      </w:r>
      <w:r>
        <w:t xml:space="preserve"> Laut Aussage P hat sie ca. 09:00 Uhr morgens eine Dosis genommen; der Pachtvertrag wurde gegen 14:00 Uhr unterzeichnet. Damit lagen etwa 5 Stunden zwischen Einnahme und Unterzeichnung.</w:t>
      </w:r>
    </w:p>
    <w:p>
      <w:pPr>
        <w:jc w:val="left"/>
      </w:pPr>
      <w:r>
        <w:rPr>
          <w:b/>
        </w:rPr>
        <w:t>Pharmakologische Halbwertszeit Tilidin retard:</w:t>
      </w:r>
      <w:r>
        <w:t xml:space="preserve"> Ca. 3–6 Stunden (Retard-Formulierung); bei Retardpräparat verzögerte Freisetzung, Maximalspiegel nach ca. 2–3 Stunden.</w:t>
      </w:r>
    </w:p>
    <w:p/>
    <w:p>
      <w:pPr>
        <w:pStyle w:val="Heading2"/>
      </w:pPr>
      <w:r>
        <w:rPr>
          <w:rFonts w:ascii="Times New Roman" w:hAnsi="Times New Roman"/>
        </w:rPr>
        <w:t>IV. Prüfung der Tatbestandsmerkmale</w:t>
      </w:r>
    </w:p>
    <w:p>
      <w:pPr>
        <w:pStyle w:val="Heading3"/>
      </w:pPr>
      <w:r>
        <w:rPr>
          <w:rFonts w:ascii="Times New Roman" w:hAnsi="Times New Roman"/>
        </w:rPr>
        <w:t>1. Vorübergehende Störung</w:t>
      </w:r>
    </w:p>
    <w:p>
      <w:pPr>
        <w:jc w:val="left"/>
      </w:pPr>
      <w:r>
        <w:t>Bei einer einmaligen Einnahme eines Retard-Opioids liegt eine vorübergehende, keine dauernde Störung vor. § 105 Abs. 2 BGB ist anwendbar. Dauerstörung gemäß § 104 Nr. 2 BGB liegt mangels Dauerdiagnose nicht vor. (+)</w:t>
      </w:r>
    </w:p>
    <w:p>
      <w:pPr>
        <w:pStyle w:val="Heading3"/>
      </w:pPr>
      <w:r>
        <w:rPr>
          <w:rFonts w:ascii="Times New Roman" w:hAnsi="Times New Roman"/>
        </w:rPr>
        <w:t>2. Störung der Geistestätigkeit</w:t>
      </w:r>
    </w:p>
    <w:p>
      <w:pPr>
        <w:jc w:val="left"/>
      </w:pPr>
      <w:r>
        <w:t>Opioid-Analgetika können Sedierung, Konzentrationsstörungen, Verwirrtheit und Urteilsbeeinträchtigung bewirken. Der BGH stellt darauf ab, ob die Willenserklärung von einem natürlichen Willen getragen wurde (BGH NJW 2018, 2127). Relevante Einschränkungen:</w:t>
      </w:r>
    </w:p>
    <w:p>
      <w:pPr>
        <w:pStyle w:val="ListBullet"/>
      </w:pPr>
      <w:r>
        <w:t>P beschreibt starke Schmerzen und Schläfrigkeit am Vormittag des 03.02.2026 (eidesstattliche Versicherung liegt vor).</w:t>
      </w:r>
    </w:p>
    <w:p>
      <w:pPr>
        <w:pStyle w:val="ListBullet"/>
      </w:pPr>
      <w:r>
        <w:t>Ihre Mitarbeiterin Silke Oertel (Zeugin) bestätigt, P sei „deutlich benommen" gewirkt.</w:t>
      </w:r>
    </w:p>
    <w:p>
      <w:pPr>
        <w:pStyle w:val="ListBullet"/>
      </w:pPr>
      <w:r>
        <w:t>Dr. Holzmann hat in einer ärztlichen Stellungnahme vom 19.03.2026 ausgeführt, bei der verschriebenen Dosis und dem berichteten Muster seien „erhebliche kognitive Einschränkungen" im fraglichen Zeitraum medizinisch plausibel.</w:t>
      </w:r>
    </w:p>
    <w:p>
      <w:pPr>
        <w:pStyle w:val="Heading3"/>
      </w:pPr>
      <w:r>
        <w:rPr>
          <w:rFonts w:ascii="Times New Roman" w:hAnsi="Times New Roman"/>
        </w:rPr>
        <w:t>3. Ausschluss der freien Willensbestimmung</w:t>
      </w:r>
    </w:p>
    <w:p>
      <w:pPr>
        <w:jc w:val="left"/>
      </w:pPr>
      <w:r>
        <w:rPr>
          <w:b/>
        </w:rPr>
        <w:t>Strenger Maßstab (BGH NJW 1970, 1680):</w:t>
      </w:r>
      <w:r>
        <w:t xml:space="preserve"> Der BGH verlangt, dass die Störung die Einsichts- und Steuerungsfähigkeit vollständig aufhebt. Eine bloße Beeinträchtigung genügt nicht.</w:t>
      </w:r>
    </w:p>
    <w:p>
      <w:pPr>
        <w:jc w:val="left"/>
      </w:pPr>
      <w:r>
        <w:rPr>
          <w:b/>
        </w:rPr>
        <w:t>Subsumtion:</w:t>
      </w:r>
      <w:r>
        <w:t xml:space="preserve"> Dies ist der kritische Punkt. P war nicht vollständig handlungsunfähig — sie hat den Vertrag unterzeichnet, hat (nach eigenen Angaben) keine körperlichen Ausfälle gezeigt und war transportfähig. Andererseits: Das Unterschreiben eines Vertrags ist kein Beweis für uneingeschränkte Willensfreiheit (BGH NJW 1964, 1277). Die Schwelle liegt hoch.</w:t>
      </w:r>
    </w:p>
    <w:p>
      <w:pPr>
        <w:jc w:val="left"/>
      </w:pPr>
      <w:r>
        <w:rPr>
          <w:b/>
        </w:rPr>
        <w:t>Beweislast:</w:t>
      </w:r>
      <w:r>
        <w:t xml:space="preserve"> P trägt die Beweislast für die Geschäftsunfähigkeit im konkreten Moment. Ein ärztliches Gutachten ist unerlässlich.</w:t>
      </w:r>
    </w:p>
    <w:p>
      <w:pPr>
        <w:jc w:val="left"/>
      </w:pPr>
      <w:r>
        <w:rPr>
          <w:b/>
        </w:rPr>
        <w:t>Prognose:</w:t>
      </w:r>
      <w:r>
        <w:t xml:space="preserve"> Wahrscheinlichkeit für Erfolg der § 105 Abs. 2 BGB-Rüge: ca. 30–40 %. Der Hauptweg bleibt § 119 BGB-Anfechtung; § 105 Abs. 2 BGB ist als Hilfsargument zu führen.</w:t>
      </w:r>
    </w:p>
    <w:p/>
    <w:p>
      <w:pPr>
        <w:pStyle w:val="Heading2"/>
      </w:pPr>
      <w:r>
        <w:rPr>
          <w:rFonts w:ascii="Times New Roman" w:hAnsi="Times New Roman"/>
        </w:rPr>
        <w:t>V. Rechtliche Konsequenz bei Erfolg des § 105 Abs. 2 BGB</w:t>
      </w:r>
    </w:p>
    <w:p>
      <w:pPr>
        <w:pStyle w:val="ListBullet"/>
      </w:pPr>
      <w:r>
        <w:t>Nichtigkeit ex tunc (§ 105 Abs. 1 BGB analog);</w:t>
      </w:r>
    </w:p>
    <w:p>
      <w:pPr>
        <w:pStyle w:val="ListBullet"/>
      </w:pPr>
      <w:r>
        <w:rPr>
          <w:b/>
        </w:rPr>
        <w:t>Kein § 122 BGB-Ersatz</w:t>
      </w:r>
      <w:r>
        <w:t xml:space="preserve"> — die Vertrauensschadenshaftung gilt nur bei Anfechtung nach § 119 ff. BGB, nicht bei Nichtigkeit gemäß § 105 Abs. 2 BGB;</w:t>
      </w:r>
    </w:p>
    <w:p>
      <w:pPr>
        <w:pStyle w:val="ListBullet"/>
      </w:pPr>
      <w:r>
        <w:t>P müsste ggf. Bereicherungsanspruch aus § 812 Abs. 1 BGB erfüllen (bereits geleistete Pachtzahlung zurückfordern).</w:t>
      </w:r>
    </w:p>
    <w:p>
      <w:pPr>
        <w:jc w:val="left"/>
      </w:pPr>
      <w:r>
        <w:t>Dieser Vorteil — keine § 122 BGB-Haftung — macht die Prüfung des § 105 Abs. 2 BGB für P besonders wertvoll.</w:t>
      </w:r>
    </w:p>
    <w:p/>
    <w:p>
      <w:pPr>
        <w:pStyle w:val="Heading2"/>
      </w:pPr>
      <w:r>
        <w:rPr>
          <w:rFonts w:ascii="Times New Roman" w:hAnsi="Times New Roman"/>
        </w:rPr>
        <w:t>VI. Beweissicherungsplan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Ärztliche Stellungnahme Dr. Holzmann (liegt vor)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Pharmakologische Wirkung, kognitive Beeinträchtigung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Vorliegend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Neurologisches Sachverständigengutachten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Wirkungsprofil Tilidin retard 50/4 mg; typische Wirkdauer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Beauftragen bis 30.03.2026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Zeugenaussage Silke Oertel (Mitarbeiterin)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Zustand P am 03.02.2026 14:00 Uhr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Versicherung einholen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Videomaterial Ladenlokal (falls vorhanden)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Verhalten P bei Unterzeichnung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Anfrage an R bis 25.03.2026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Versicherung 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Wahrnehmung, Benommenheitsgefühl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Vorliegend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VII. Ergebnis</w:t>
      </w:r>
    </w:p>
    <w:p>
      <w:pPr>
        <w:jc w:val="left"/>
      </w:pPr>
      <w:r>
        <w:t>§ 105 Abs. 2 BGB ist ein subsidiäres, aber nicht zu vernachlässigendes Angriffsmittel. Primär wird die Anfechtung gemäß § 119 Abs. 1 BGB verfolgt. Wenn diese am Fristproblem scheitert, bietet § 105 Abs. 2 BGB eine prozessuale Reserve mit dem Vorteil, dass im Erfolgsfall keine § 122 BGB-Haftung entsteht. Sachverständigengutachten ist unverzüglich zu beauftragen.</w:t>
      </w:r>
    </w:p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104, 105 BGB: https://dejure.org/gesetze/BGB/104.html</w:t>
      </w:r>
    </w:p>
    <w:p>
      <w:pPr>
        <w:jc w:val="left"/>
      </w:pPr>
      <w:r>
        <w:t>BGH NJW 1970, 1680 (Anforderungen § 105 Abs. 2 BGB): https://www.bundesgerichtshof.de</w:t>
      </w:r>
    </w:p>
    <w:p>
      <w:pPr>
        <w:jc w:val="left"/>
      </w:pPr>
      <w:r>
        <w:t>BGH NJW 2018, 2127 (vorübergehende Geschäftsunfähigkeit, natürlicher Wille): https://www.bundesgerichtshof.de</w:t>
      </w:r>
    </w:p>
    <w:p>
      <w:pPr>
        <w:jc w:val="left"/>
      </w:pPr>
      <w:r>
        <w:t>Bundesärztekammer, Hinweise Opioid-Analgetika im Straßenverkehr (2024): https://www.bundesaerztekammer.de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