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Widerruf der Schenkung — § 530 BGB Grober Undank (Florian Pohlmann)</w:t>
      </w:r>
    </w:p>
    <w:p>
      <w:pPr>
        <w:jc w:val="left"/>
      </w:pPr>
      <w:r>
        <w:rPr>
          <w:b/>
        </w:rPr>
        <w:t>Bearbeiter:</w:t>
      </w:r>
      <w:r>
        <w:t xml:space="preserve"> RA Dr. Heinrich Schweizer-Loberg</w:t>
      </w:r>
    </w:p>
    <w:p>
      <w:pPr>
        <w:jc w:val="left"/>
      </w:pPr>
      <w:r>
        <w:rPr>
          <w:b/>
        </w:rPr>
        <w:t>Datum:</w:t>
      </w:r>
      <w:r>
        <w:t xml:space="preserve"> 08. April 2026</w:t>
      </w:r>
    </w:p>
    <w:p>
      <w:pPr>
        <w:jc w:val="left"/>
      </w:pPr>
      <w:r>
        <w:rPr>
          <w:b/>
        </w:rPr>
        <w:t>Bezug:</w:t>
      </w:r>
      <w:r>
        <w:t xml:space="preserve"> Schenkung Restaurantbetrieb „Suppentopf Lindenau" an Florian Pohlmann; Weitergabe Betriebskonzept an Konkurrenz</w:t>
      </w:r>
    </w:p>
    <w:p/>
    <w:p>
      <w:pPr>
        <w:pStyle w:val="Heading2"/>
      </w:pPr>
      <w:r>
        <w:rPr>
          <w:rFonts w:ascii="Times New Roman" w:hAnsi="Times New Roman"/>
        </w:rPr>
        <w:t>I. Sachverhalt</w:t>
      </w:r>
    </w:p>
    <w:p>
      <w:pPr>
        <w:jc w:val="left"/>
      </w:pPr>
      <w:r>
        <w:t xml:space="preserve">Brigitte Pohlmann-Ofenkaess (Schenkerin, im Folgenden: S) hat ihrem Sohn Florian Pohlmann (Beschenkter, im Folgenden: F) im Rahmen der vorweggenommenen Erbfolge mit notariellem Vertrag vom </w:t>
      </w:r>
      <w:r>
        <w:rPr>
          <w:b/>
        </w:rPr>
        <w:t>01. September 2025</w:t>
      </w:r>
      <w:r>
        <w:t xml:space="preserve"> den Restaurantbetrieb „Suppentopf Lindenau" (bestehend aus dem einzelkaufmännischen Betrieb mit Inventar, Rezepturen, Markenrecht am Namen, laufenden Lieferverträgen) unentgeltlich übertragen.</w:t>
      </w:r>
    </w:p>
    <w:p>
      <w:pPr>
        <w:jc w:val="left"/>
      </w:pPr>
      <w:r>
        <w:t xml:space="preserve">Im </w:t>
      </w:r>
      <w:r>
        <w:rPr>
          <w:b/>
        </w:rPr>
        <w:t>Februar 2026</w:t>
      </w:r>
      <w:r>
        <w:t xml:space="preserve"> hat F das gesamte Betriebskonzept der Restaurantkette — einschließlich der zentralen Suppenzubereitungs-Rezepturen, der Einkaufskonditionen bei Lieferanten und der Standortanalyse für geplante Filialen — an die </w:t>
      </w:r>
      <w:r>
        <w:rPr>
          <w:b/>
        </w:rPr>
        <w:t>Gastro Excellence GmbH</w:t>
      </w:r>
      <w:r>
        <w:t xml:space="preserve"> (Leipzig-Zentrum, direkter Konkurrent von „Pohlmanns Suppentopf") weitergegeben. Die Gastro Excellence GmbH hat daraufhin eine eigene Suppenkette eröffnet und zwei Lieferanten von S abgeworben.</w:t>
      </w:r>
    </w:p>
    <w:p>
      <w:pPr>
        <w:jc w:val="left"/>
      </w:pPr>
      <w:r>
        <w:t xml:space="preserve">S hat Kenntnis hiervon am </w:t>
      </w:r>
      <w:r>
        <w:rPr>
          <w:b/>
        </w:rPr>
        <w:t>15. März 2026</w:t>
      </w:r>
      <w:r>
        <w:t xml:space="preserve"> erlangt (durch Hinweis eines gemeinsamen Bekannten).</w:t>
      </w:r>
    </w:p>
    <w:p/>
    <w:p>
      <w:pPr>
        <w:pStyle w:val="Heading2"/>
      </w:pPr>
      <w:r>
        <w:rPr>
          <w:rFonts w:ascii="Times New Roman" w:hAnsi="Times New Roman"/>
        </w:rPr>
        <w:t>II. Rechtliche Grundlagen</w:t>
      </w:r>
    </w:p>
    <w:p>
      <w:pPr>
        <w:pStyle w:val="Heading3"/>
      </w:pPr>
      <w:r>
        <w:rPr>
          <w:rFonts w:ascii="Times New Roman" w:hAnsi="Times New Roman"/>
        </w:rPr>
        <w:t>§ 530 BGB — Widerruf wegen groben Undanks</w:t>
      </w:r>
    </w:p>
    <w:p>
      <w:pPr>
        <w:jc w:val="left"/>
      </w:pPr>
      <w:r>
        <w:t>„(1) Eine Schenkung kann widerrufen werden, wenn sich der Beschenkte durch eine schwere Verfehlung gegen den Schenker oder einen nahen Angehörigen des Schenkers groben Undanks schuldig macht.</w:t>
      </w:r>
    </w:p>
    <w:p>
      <w:pPr>
        <w:jc w:val="left"/>
      </w:pPr>
      <w:r>
        <w:t>(2) Dem Erben des Schenkers steht das Widerrufsrecht zu, wenn der Beschenkte vorsätzlich und widerrechtlich den Schenker getötet oder den Schenker an der Ausübung des Widerrufsrechts gehindert hat."</w:t>
      </w:r>
    </w:p>
    <w:p>
      <w:pPr>
        <w:pStyle w:val="Heading3"/>
      </w:pPr>
      <w:r>
        <w:rPr>
          <w:rFonts w:ascii="Times New Roman" w:hAnsi="Times New Roman"/>
        </w:rPr>
        <w:t>§ 531 BGB — Widerruf durch Erklärung</w:t>
      </w:r>
    </w:p>
    <w:p>
      <w:pPr>
        <w:jc w:val="left"/>
      </w:pPr>
      <w:r>
        <w:t>„(1) Der Widerruf erfolgt durch Erklärung gegenüber dem Beschenkten.</w:t>
      </w:r>
    </w:p>
    <w:p>
      <w:pPr>
        <w:jc w:val="left"/>
      </w:pPr>
      <w:r>
        <w:t>(2) Ist die Schenkung widerrufen, so kann die Herausgabe des Geschenkten nach den Vorschriften über die Herausgabe einer ungerechtfertigten Bereicherung gefordert werden."</w:t>
      </w:r>
    </w:p>
    <w:p>
      <w:pPr>
        <w:pStyle w:val="Heading3"/>
      </w:pPr>
      <w:r>
        <w:rPr>
          <w:rFonts w:ascii="Times New Roman" w:hAnsi="Times New Roman"/>
        </w:rPr>
        <w:t>§ 532 BGB — Ausschluss des Widerrufs</w:t>
      </w:r>
    </w:p>
    <w:p>
      <w:pPr>
        <w:jc w:val="left"/>
      </w:pPr>
      <w:r>
        <w:t>„Der Widerruf ist ausgeschlossen, wenn der Schenker dem Beschenkten verziehen hat oder wenn seit dem Zeitpunkt, in welchem der Schenker von dem Eintritt des Widerrufsgrundes Kenntnis erlangt hat, ein Jahr verstrichen ist."</w:t>
      </w:r>
    </w:p>
    <w:p/>
    <w:p>
      <w:pPr>
        <w:pStyle w:val="Heading2"/>
      </w:pPr>
      <w:r>
        <w:rPr>
          <w:rFonts w:ascii="Times New Roman" w:hAnsi="Times New Roman"/>
        </w:rPr>
        <w:t>III. Prüfungsschema</w:t>
      </w:r>
    </w:p>
    <w:p>
      <w:pPr>
        <w:pStyle w:val="Heading3"/>
      </w:pPr>
      <w:r>
        <w:rPr>
          <w:rFonts w:ascii="Times New Roman" w:hAnsi="Times New Roman"/>
        </w:rPr>
        <w:t>A. Schenkungsvertrag (§ 516 Abs. 1 BGB)</w:t>
      </w:r>
    </w:p>
    <w:p>
      <w:pPr>
        <w:jc w:val="left"/>
      </w:pPr>
      <w:r>
        <w:t>Formgültige notarielle Schenkung des Restaurantbetriebs am 01.09.2025 liegt vor (§ 518 Abs. 1 BGB: Schenkungsversprechen bedarf notarieller Beurkundung; hier vollzogen, sodass § 518 Abs. 2 BGB Heilung greift). (+)</w:t>
      </w:r>
    </w:p>
    <w:p>
      <w:pPr>
        <w:pStyle w:val="Heading3"/>
      </w:pPr>
      <w:r>
        <w:rPr>
          <w:rFonts w:ascii="Times New Roman" w:hAnsi="Times New Roman"/>
        </w:rPr>
        <w:t>B. Grober Undank (§ 530 Abs. 1 BGB)</w:t>
      </w:r>
    </w:p>
    <w:p>
      <w:pPr>
        <w:jc w:val="left"/>
      </w:pPr>
      <w:r>
        <w:rPr>
          <w:b/>
        </w:rPr>
        <w:t>Definition:</w:t>
      </w:r>
      <w:r>
        <w:t xml:space="preserve"> Grober Undank liegt vor, wenn die Verfehlung des Beschenkten nach Art und Umständen objektiv schwerwiegend ist und eine tadelnswerte Gesinnung gegenüber dem Schenker offenbart, die dem Schenker die Belassung der Schenkung unzumutbar macht (BGH NJW 2014, 2638).</w:t>
      </w:r>
    </w:p>
    <w:p>
      <w:pPr>
        <w:jc w:val="left"/>
      </w:pPr>
      <w:r>
        <w:rPr>
          <w:b/>
        </w:rPr>
        <w:t>Prüfungsschritte:</w:t>
      </w:r>
    </w:p>
    <w:p>
      <w:pPr>
        <w:pStyle w:val="ListNumber"/>
      </w:pPr>
      <w:r>
        <w:rPr>
          <w:b/>
        </w:rPr>
        <w:t>Schwere Verfehlung:</w:t>
      </w:r>
      <w:r>
        <w:t xml:space="preserve"> Die Weitergabe des Betriebskonzepts an einen direkten Konkurrenten stellt eine schwerwiegende Verletzung schutzwürdiger Geschäftsinteressen der Schenkerin dar. F hat durch die Weitergabe die wirtschaftliche Grundlage der Mutter — ihre Restaurantkette — unmittelbar angegriffen.</w:t>
      </w:r>
    </w:p>
    <w:p>
      <w:pPr>
        <w:pStyle w:val="ListNumber"/>
      </w:pPr>
      <w:r>
        <w:rPr>
          <w:b/>
        </w:rPr>
        <w:t>Gegenüber dem Schenker:</w:t>
      </w:r>
      <w:r>
        <w:t xml:space="preserve"> Die Verfehlung muss gegen die Schenkerin selbst gerichtet sein. Hier: F hat durch Weitergabe des Konzepts der Konkurrenz Marktanteile entzogen, Lieferanten abgezogen — unmittelbarer wirtschaftlicher Schaden für S. (+)</w:t>
      </w:r>
    </w:p>
    <w:p>
      <w:pPr>
        <w:pStyle w:val="ListNumber"/>
      </w:pPr>
      <w:r>
        <w:rPr>
          <w:b/>
        </w:rPr>
        <w:t>Tadelnswerte Gesinnung:</w:t>
      </w:r>
      <w:r>
        <w:t xml:space="preserve"> F wusste, dass er das Konzept seiner Mutter veräußerte und damit deren Konkurrenten stärkte. Die Absicht ergibt sich aus der Tatsache, dass F dafür eine Gegenleistung von der Gastro Excellence GmbH erhalten hat (nach Informationen: 15.000 EUR). Dies belegt eine vorsätzlich schädigende Haltung.</w:t>
      </w:r>
    </w:p>
    <w:p>
      <w:pPr>
        <w:pStyle w:val="ListNumber"/>
      </w:pPr>
      <w:r>
        <w:rPr>
          <w:b/>
        </w:rPr>
        <w:t>Unzumutbarkeit der Belassung:</w:t>
      </w:r>
      <w:r>
        <w:t xml:space="preserve"> S hat F das Geschäft aus Familienliebe und vorweggenommener Erbfolge übertragen. Die bewusste Schädigung der Mutter durch Konkurrenzförderung macht die Belassung objektiv unzumutbar.</w:t>
      </w:r>
    </w:p>
    <w:p>
      <w:pPr>
        <w:jc w:val="left"/>
      </w:pPr>
      <w:r>
        <w:rPr>
          <w:b/>
        </w:rPr>
        <w:t>Ergebnis grober Undank:</w:t>
      </w:r>
      <w:r>
        <w:t xml:space="preserve"> (+)</w:t>
      </w:r>
    </w:p>
    <w:p>
      <w:pPr>
        <w:pStyle w:val="Heading3"/>
      </w:pPr>
      <w:r>
        <w:rPr>
          <w:rFonts w:ascii="Times New Roman" w:hAnsi="Times New Roman"/>
        </w:rPr>
        <w:t>C. Ausschluss des Widerrufs (§ 532 BGB)</w:t>
      </w:r>
    </w:p>
    <w:p>
      <w:pPr>
        <w:jc w:val="left"/>
      </w:pPr>
      <w:r>
        <w:rPr>
          <w:b/>
        </w:rPr>
        <w:t>Frist:</w:t>
      </w:r>
      <w:r>
        <w:t xml:space="preserve"> Ein Jahr ab Kenntnis vom Widerrufsgrund. S erlangte Kenntnis am 15.03.2026. Die Widerrufsfrist läuft bis </w:t>
      </w:r>
      <w:r>
        <w:rPr>
          <w:b/>
        </w:rPr>
        <w:t>15.03.2027</w:t>
      </w:r>
      <w:r>
        <w:t>. Eine sofortige Widerrufserklärung ist anzuraten.</w:t>
      </w:r>
    </w:p>
    <w:p>
      <w:pPr>
        <w:jc w:val="left"/>
      </w:pPr>
      <w:r>
        <w:rPr>
          <w:b/>
        </w:rPr>
        <w:t>Verzeihung:</w:t>
      </w:r>
      <w:r>
        <w:t xml:space="preserve"> Hat S dem F bereits verziehen? Nach Aktenlage nein. S war bei Erstgespräch sichtlich erschüttert und betrachtete die Handlung als gravierenden Vertrauensbruch.</w:t>
      </w:r>
    </w:p>
    <w:p>
      <w:pPr>
        <w:jc w:val="left"/>
      </w:pPr>
      <w:r>
        <w:rPr>
          <w:b/>
        </w:rPr>
        <w:t>Ergebnis § 532 BGB:</w:t>
      </w:r>
      <w:r>
        <w:t xml:space="preserve"> Widerruf nicht ausgeschlossen. (+)</w:t>
      </w:r>
    </w:p>
    <w:p>
      <w:pPr>
        <w:pStyle w:val="Heading3"/>
      </w:pPr>
      <w:r>
        <w:rPr>
          <w:rFonts w:ascii="Times New Roman" w:hAnsi="Times New Roman"/>
        </w:rPr>
        <w:t>D. Widerrufserklärung (§ 531 BGB)</w:t>
      </w:r>
    </w:p>
    <w:p>
      <w:pPr>
        <w:jc w:val="left"/>
      </w:pPr>
      <w:r>
        <w:t>Widerrufserklärung als empfangsbedürftige Willenserklärung gegenüber F; kein besonderes Formerfordernis. Empfehlung: Schriftlich per Einschreiben, unter Angabe des konkreten Widerrufsgrunds.</w:t>
      </w:r>
    </w:p>
    <w:p/>
    <w:p>
      <w:pPr>
        <w:pStyle w:val="Heading2"/>
      </w:pPr>
      <w:r>
        <w:rPr>
          <w:rFonts w:ascii="Times New Roman" w:hAnsi="Times New Roman"/>
        </w:rPr>
        <w:t>IV. Rechtsfolge des Widerrufs</w:t>
      </w:r>
    </w:p>
    <w:p>
      <w:pPr>
        <w:jc w:val="left"/>
      </w:pPr>
      <w:r>
        <w:rPr>
          <w:b/>
        </w:rPr>
        <w:t>§ 531 Abs. 2 BGB i.V.m. §§ 812 ff. BGB:</w:t>
      </w:r>
    </w:p>
    <w:p>
      <w:pPr>
        <w:jc w:val="left"/>
      </w:pPr>
      <w:r>
        <w:t>Nach Widerruf hat S einen Anspruch auf Herausgabe des Geschenkten nach den Bereicherungsregeln. Da der Betrieb bereits wirtschaftlich in Betrieb genommen und teilweise verändert wurde, tritt an die Stelle der Naturalrestitution der Wertersatz (§§ 818 Abs. 2, 818 Abs. 4, 819 BGB).</w:t>
      </w:r>
    </w:p>
    <w:p>
      <w:pPr>
        <w:jc w:val="left"/>
      </w:pPr>
      <w:r>
        <w:rPr>
          <w:b/>
        </w:rPr>
        <w:t>Wert des Restaurantbetriebs zum 01.09.2025 (Schätzung):</w:t>
      </w:r>
    </w:p>
    <w:p>
      <w:pPr>
        <w:pStyle w:val="ListBullet"/>
      </w:pPr>
      <w:r>
        <w:t>Inventar: ca. 85.000 EUR</w:t>
      </w:r>
    </w:p>
    <w:p>
      <w:pPr>
        <w:pStyle w:val="ListBullet"/>
      </w:pPr>
      <w:r>
        <w:t>Warenbestand: ca. 12.000 EUR</w:t>
      </w:r>
    </w:p>
    <w:p>
      <w:pPr>
        <w:pStyle w:val="ListBullet"/>
      </w:pPr>
      <w:r>
        <w:t>Goodwill / Kundenstamm: ca. 40.000 EUR</w:t>
      </w:r>
    </w:p>
    <w:p>
      <w:pPr>
        <w:pStyle w:val="ListBullet"/>
      </w:pPr>
      <w:r>
        <w:t>Lieferverträge (Ablösewert): ca. 15.000 EUR</w:t>
      </w:r>
    </w:p>
    <w:p>
      <w:pPr>
        <w:pStyle w:val="ListBullet"/>
      </w:pPr>
      <w:r>
        <w:rPr>
          <w:b/>
        </w:rPr>
        <w:t>Gesamt ca. 152.000 EUR</w:t>
      </w:r>
    </w:p>
    <w:p/>
    <w:p>
      <w:pPr>
        <w:pStyle w:val="Heading2"/>
      </w:pPr>
      <w:r>
        <w:rPr>
          <w:rFonts w:ascii="Times New Roman" w:hAnsi="Times New Roman"/>
        </w:rPr>
        <w:t>V. Schadensersatz Weiterverwertung Konzept</w:t>
      </w:r>
    </w:p>
    <w:p>
      <w:pPr>
        <w:jc w:val="left"/>
      </w:pPr>
      <w:r>
        <w:t>Parallel zu § 530 BGB besteht ein Schadensersatzanspruch aus § 823 Abs. 1 BGB (Eingriff in eingerichteten und ausgeübten Gewerbebetrieb als sonstiges Recht) sowie aus §§ 3, 4 UWG (unlauterer Wettbewerb, Geheimnisverrat), wenn das weitergegebene Know-how als Geschäftsgeheimnis i.S.d. § 2 Nr. 1 GeschGehG qualifiziert.</w:t>
      </w:r>
    </w:p>
    <w:p>
      <w:pPr>
        <w:jc w:val="left"/>
      </w:pPr>
      <w:r>
        <w:rPr>
          <w:b/>
        </w:rPr>
        <w:t>Quellen:</w:t>
      </w:r>
    </w:p>
    <w:p>
      <w:pPr>
        <w:jc w:val="left"/>
      </w:pPr>
      <w:r>
        <w:t>§§ 516, 518, 530, 531, 532 BGB: https://dejure.org/gesetze/BGB/530.html</w:t>
      </w:r>
    </w:p>
    <w:p>
      <w:pPr>
        <w:jc w:val="left"/>
      </w:pPr>
      <w:r>
        <w:t>BGH NJW 2014, 2638 (grober Undank — Maßstab): https://www.bundesgerichtshof.de</w:t>
      </w:r>
    </w:p>
    <w:p>
      <w:pPr>
        <w:jc w:val="left"/>
      </w:pPr>
      <w:r>
        <w:t>BGH NJW 2009, 1346 (Widerruf Schenkung, Fristbeginn): https://openjur.de</w:t>
      </w:r>
    </w:p>
    <w:p>
      <w:pPr>
        <w:jc w:val="left"/>
      </w:pPr>
      <w:r>
        <w:t>GeschGehG § 2: https://dejure.org/gesetze/GeschGehG/2.html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