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Verjährungsanalyse — §§ 195, 199 BGB: Forderungen Akte Pohlmann-Ofenkaess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10. April 2026</w:t>
      </w:r>
    </w:p>
    <w:p>
      <w:pPr>
        <w:jc w:val="left"/>
      </w:pPr>
      <w:r>
        <w:rPr>
          <w:b/>
        </w:rPr>
        <w:t>Bezug:</w:t>
      </w:r>
      <w:r>
        <w:t xml:space="preserve"> Überblick über alle relevanten Forderungen und ihre Verjährungsfristen</w:t>
      </w:r>
    </w:p>
    <w:p/>
    <w:p>
      <w:pPr>
        <w:pStyle w:val="Heading2"/>
      </w:pPr>
      <w:r>
        <w:rPr>
          <w:rFonts w:ascii="Times New Roman" w:hAnsi="Times New Roman"/>
        </w:rPr>
        <w:t>I. Grundlagen Verjährungsrecht BGB AT</w:t>
      </w:r>
    </w:p>
    <w:p>
      <w:pPr>
        <w:pStyle w:val="Heading3"/>
      </w:pPr>
      <w:r>
        <w:rPr>
          <w:rFonts w:ascii="Times New Roman" w:hAnsi="Times New Roman"/>
        </w:rPr>
        <w:t>§ 195 BGB — Regelmäßige Verjährungsfrist</w:t>
      </w:r>
    </w:p>
    <w:p>
      <w:pPr>
        <w:jc w:val="left"/>
      </w:pPr>
      <w:r>
        <w:t>„Die regelmäßige Verjährungsfrist beträgt drei Jahre."</w:t>
      </w:r>
    </w:p>
    <w:p>
      <w:pPr>
        <w:pStyle w:val="Heading3"/>
      </w:pPr>
      <w:r>
        <w:rPr>
          <w:rFonts w:ascii="Times New Roman" w:hAnsi="Times New Roman"/>
        </w:rPr>
        <w:t>§ 199 BGB — Beginn der regelmäßigen Verjährungsfrist</w:t>
      </w:r>
    </w:p>
    <w:p>
      <w:pPr>
        <w:jc w:val="left"/>
      </w:pPr>
      <w:r>
        <w:t>„(1) Die regelmäßige Verjährungsfrist beginnt, soweit nicht ein anderer Verjährungsbeginn bestimmt ist, mit dem Schluss des Jahres, in dem</w:t>
      </w:r>
    </w:p>
    <w:p>
      <w:pPr>
        <w:pStyle w:val="ListNumber"/>
      </w:pPr>
      <w:r>
        <w:t>der Anspruch entstanden ist und</w:t>
      </w:r>
    </w:p>
    <w:p>
      <w:pPr>
        <w:pStyle w:val="ListNumber"/>
      </w:pPr>
      <w:r>
        <w:t>der Gläubiger von den den Anspruch begründenden Umständen und der Person des Schuldners Kenntnis erlangt oder ohne grobe Fahrlässigkeit erlangen müsste."</w:t>
      </w:r>
    </w:p>
    <w:p>
      <w:pPr>
        <w:jc w:val="left"/>
      </w:pPr>
      <w:r>
        <w:rPr>
          <w:b/>
        </w:rPr>
        <w:t>Stichtagsprinzip:</w:t>
      </w:r>
      <w:r>
        <w:t xml:space="preserve"> Die Frist beginnt mit dem </w:t>
      </w:r>
      <w:r>
        <w:rPr>
          <w:b/>
        </w:rPr>
        <w:t>31. Dezember</w:t>
      </w:r>
      <w:r>
        <w:t xml:space="preserve"> des betreffenden Jahres (nicht taggenau) — also immer zum Jahresende.</w:t>
      </w:r>
    </w:p>
    <w:p>
      <w:pPr>
        <w:pStyle w:val="Heading3"/>
      </w:pPr>
      <w:r>
        <w:rPr>
          <w:rFonts w:ascii="Times New Roman" w:hAnsi="Times New Roman"/>
        </w:rPr>
        <w:t>§ 199 Abs. 2–4 BGB — Absolute Höchstfristen</w:t>
      </w:r>
    </w:p>
    <w:p>
      <w:pPr>
        <w:pStyle w:val="ListBullet"/>
      </w:pPr>
      <w:r>
        <w:t>Ansprüche auf Herausgabe: 10 Jahre ab Entstehung (§ 199 Abs. 4 BGB)</w:t>
      </w:r>
    </w:p>
    <w:p>
      <w:pPr>
        <w:pStyle w:val="ListBullet"/>
      </w:pPr>
      <w:r>
        <w:t>Schadensersatzansprüche: 30 Jahre ab schädigender Handlung (§ 199 Abs. 3 Nr. 2 BGB)</w:t>
      </w:r>
    </w:p>
    <w:p>
      <w:pPr>
        <w:pStyle w:val="Heading3"/>
      </w:pPr>
      <w:r>
        <w:rPr>
          <w:rFonts w:ascii="Times New Roman" w:hAnsi="Times New Roman"/>
        </w:rPr>
        <w:t>§ 204 BGB — Hemmung durch Klageerhebung</w:t>
      </w:r>
    </w:p>
    <w:p>
      <w:pPr>
        <w:jc w:val="left"/>
      </w:pPr>
      <w:r>
        <w:t>Klageerhebung, Mahnbescheid, Güteantragseinreichung hemmen die Verjährung.</w:t>
      </w:r>
    </w:p>
    <w:p>
      <w:pPr>
        <w:pStyle w:val="Heading3"/>
      </w:pPr>
      <w:r>
        <w:rPr>
          <w:rFonts w:ascii="Times New Roman" w:hAnsi="Times New Roman"/>
        </w:rPr>
        <w:t>§ 213 BGB — Hemmung, Ablaufhemmung bei Anspruchsverwandtschaft</w:t>
      </w:r>
    </w:p>
    <w:p>
      <w:pPr>
        <w:jc w:val="left"/>
      </w:pPr>
      <w:r>
        <w:t>Hemmung der Verjährung des Hauptanspruchs hemmt auch verwandte Gegenansprüche.</w:t>
      </w:r>
    </w:p>
    <w:p/>
    <w:p>
      <w:pPr>
        <w:pStyle w:val="Heading2"/>
      </w:pPr>
      <w:r>
        <w:rPr>
          <w:rFonts w:ascii="Times New Roman" w:hAnsi="Times New Roman"/>
        </w:rPr>
        <w:t>II. Forderungsübersicht und Verjährungsberechnung</w:t>
      </w:r>
    </w:p>
    <w:p>
      <w:pPr>
        <w:pStyle w:val="Heading3"/>
      </w:pPr>
      <w:r>
        <w:rPr>
          <w:rFonts w:ascii="Times New Roman" w:hAnsi="Times New Roman"/>
        </w:rPr>
        <w:t>Forderung 1: Rückforderung überzahlte Pacht (nach erfolgreicher Anfechtung)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812 Abs. 1 S. 1 Alt. 1 BGB (condictio indebiti)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Anfechtungserklärung 17.03.2026 (ex tunc Nichtigkeit)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Geleistete Pachtzahlungen (bis dato: 2 × 9.800 EUR = 19.600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Anfechtungsklage bis 31.12.2029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2: § 122 BGB Vertrauensschaden Ratschke gegen 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122 Abs. 1 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Wirksamkeit Anfechtung (17.03.2026)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Ratschke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 (Zugang Anfechtungserklärung)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Ratschkes Vertrauensschaden; geschätzt 10.000–18.000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Ratschke muss bis 31.12.2029 klagen; bereits Klage erhoben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3: Restkaufpreis Convotherm (44.000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433 Abs. 2 BGB (Kaufpreiszahlungspflicht)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Fälligkeit der letzten Rate (lt. Vertrag: 01.12.2025)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Convotherm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Laufend; Fälligkeit bekannt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44.000 EUR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Convotherm muss bis 31.12.2028 klagen; Klage OLG Dresden bereits anhängig → Hemmung § 204 BGB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4: Schadensersatz Convotherm wegen Weitervräußerung Öfen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280 Abs. 1, 823 Abs. 1 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Weitervräußerung der 3 Öfen an Schlotterhose (ca. Februar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Convotherm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Entdeckt März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Marktwert 3 Öfen: ca. 45.000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Convotherm klagt; Hemmung läuft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5: Containerbestellung — Schadensersatz Meißen GmbH gegen Lübbers (§ 179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179 Abs. 1 oder 2 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Verweigerung Genehmigung durch GmbH (25.03.2026)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Meißen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 EUR (Vertragserfüllung) oder Vertrauensschaden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Leipzig-Verfahren läuft; Hemmung aktiv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6: Widerruf Schenkung Florian — Wertersatz (§§ 531, 818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812 Abs. 1 BGB i.V.m. § 531 Abs. 2 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Widerrufserklärung (sofort nach Kenntnis, 15.03.2026)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152.000 EUR Betriebswert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Widerrufserklärung erstatten; Klage vorbereiten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Forderung 7: Steuerbescheid Finanzamt (Ammenwald-Erklärung — 47.800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347 AO (Einspruch)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Einspruchsfrist 1 Monat ab Bekanntgabe (§ 355 AO)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Steuerrecht — keine §§ 195 ff. BGB, sondern 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sofort einlegen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Tabellarische Verjährungsübersicht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Verjährungsbeginn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Verjährungsende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Hemmung aktiv?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Rückforderung Pacht (§ 812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122 BGB Ratschke gegen 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 anhängig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Restkaufpreis Convotherm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 (OLG Dresden)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 Convotherm Öfen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 (mitanhängig)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179 BGB Meißen gegen Lübbers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 (AG Leipzig)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Schenkungswiderruf Wertersatz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 — Klage vorbereiten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Kritische Fristen und Handlungsempfehlungen</w:t>
      </w:r>
    </w:p>
    <w:p>
      <w:pPr>
        <w:pStyle w:val="ListNumber"/>
      </w:pPr>
      <w:r>
        <w:rPr>
          <w:b/>
        </w:rPr>
        <w:t>Forderung 3 (Convotherm Restkaufpreis):</w:t>
      </w:r>
      <w:r>
        <w:t xml:space="preserve"> Verjährt </w:t>
      </w:r>
      <w:r>
        <w:rPr>
          <w:b/>
        </w:rPr>
        <w:t>31.12.2028</w:t>
      </w:r>
      <w:r>
        <w:t xml:space="preserve"> — zwei Jahre früher als die anderen. Hemmung durch OLG-Verfahren aktiv; Verfahren nicht einschlafen lassen.</w:t>
      </w:r>
    </w:p>
    <w:p>
      <w:pPr>
        <w:pStyle w:val="ListNumber"/>
      </w:pPr>
      <w:r>
        <w:rPr>
          <w:b/>
        </w:rPr>
        <w:t>Forderung 6 (Schenkungswiderruf):</w:t>
      </w:r>
      <w:r>
        <w:t xml:space="preserve"> Noch keine Klage. Widerrufserklärung erstatten; Klage auf Wertersatz bis spätestens </w:t>
      </w:r>
      <w:r>
        <w:rPr>
          <w:b/>
        </w:rPr>
        <w:t>Ende 2029</w:t>
      </w:r>
      <w:r>
        <w:t xml:space="preserve"> erheben; Hemmung durch Güteverfahren oder Klage einleiten.</w:t>
      </w:r>
    </w:p>
    <w:p>
      <w:pPr>
        <w:pStyle w:val="ListNumber"/>
      </w:pPr>
      <w:r>
        <w:rPr>
          <w:b/>
        </w:rPr>
        <w:t>Steuerbescheid (Ammenwald):</w:t>
      </w:r>
      <w:r>
        <w:t xml:space="preserve"> Einspruchsfrist AO beachten — </w:t>
      </w:r>
      <w:r>
        <w:rPr>
          <w:b/>
        </w:rPr>
        <w:t>sofort handeln</w:t>
      </w:r>
      <w:r>
        <w:t>.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195, 199, 204 BGB: https://dejure.org/gesetze/BGB/195.html</w:t>
      </w:r>
    </w:p>
    <w:p>
      <w:pPr>
        <w:jc w:val="left"/>
      </w:pPr>
      <w:r>
        <w:t>BGH NJW 2008, 1233 (Stichtagsprinzip Verjährungsbeginn): https://www.bundesgerichtshof.de</w:t>
      </w:r>
    </w:p>
    <w:p>
      <w:pPr>
        <w:jc w:val="left"/>
      </w:pPr>
      <w:r>
        <w:t>BGH NJW 2014, 3786 (Hemmung § 204 BGB, Klageerhebung): https://openjur.de</w:t>
      </w:r>
    </w:p>
    <w:p>
      <w:pPr>
        <w:jc w:val="left"/>
      </w:pPr>
      <w:r>
        <w:t>§ 355 AO: https://dejure.org/gesetze/AO/355.html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