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Abgrenzung Erklärungs-, Inhalts- und Motivirrtum — § 119 Abs. 1 BGB im Detail</w:t>
      </w:r>
    </w:p>
    <w:p>
      <w:pPr>
        <w:jc w:val="left"/>
      </w:pPr>
      <w:r>
        <w:rPr>
          <w:b/>
        </w:rPr>
        <w:t>Bearbeiter:</w:t>
      </w:r>
      <w:r>
        <w:t xml:space="preserve"> RA Dr. Heinrich Schweizer-Loberg</w:t>
      </w:r>
    </w:p>
    <w:p>
      <w:pPr>
        <w:jc w:val="left"/>
      </w:pPr>
      <w:r>
        <w:rPr>
          <w:b/>
        </w:rPr>
        <w:t>Datum:</w:t>
      </w:r>
      <w:r>
        <w:t xml:space="preserve"> 18. April 2026</w:t>
      </w:r>
    </w:p>
    <w:p>
      <w:pPr>
        <w:jc w:val="left"/>
      </w:pPr>
      <w:r>
        <w:rPr>
          <w:b/>
        </w:rPr>
        <w:t>Bezug:</w:t>
      </w:r>
      <w:r>
        <w:t xml:space="preserve"> Vertiefung für Klausur BGB AT; Akte Pohlmann / Ratschke</w:t>
      </w:r>
    </w:p>
    <w:p/>
    <w:p>
      <w:pPr>
        <w:pStyle w:val="Heading2"/>
      </w:pPr>
      <w:r>
        <w:rPr>
          <w:rFonts w:ascii="Times New Roman" w:hAnsi="Times New Roman"/>
        </w:rPr>
        <w:t>I. Einleitung — Bedeutung der Abgrenzung</w:t>
      </w:r>
    </w:p>
    <w:p>
      <w:pPr>
        <w:jc w:val="left"/>
      </w:pPr>
      <w:r>
        <w:t>Die Unterscheidung zwischen beachtlichem Erklärungs-/Inhaltsirrtum und dem unbeachtlichen Motivirrtum ist eine der zentralen Fragen im BGB AT. Sie entscheidet, ob eine Willenserklärung anfechtbar ist. Im Fall Pohlmann / Ratschke muss diese Abgrenzung sorgfältig durchgeführt werden, da Ratschke genau hier angreift.</w:t>
      </w:r>
    </w:p>
    <w:p/>
    <w:p>
      <w:pPr>
        <w:pStyle w:val="Heading2"/>
      </w:pPr>
      <w:r>
        <w:rPr>
          <w:rFonts w:ascii="Times New Roman" w:hAnsi="Times New Roman"/>
        </w:rPr>
        <w:t>II. Die Irrtumsarten im Überblick</w:t>
      </w:r>
    </w:p>
    <w:p>
      <w:pPr>
        <w:pStyle w:val="Heading3"/>
      </w:pPr>
      <w:r>
        <w:rPr>
          <w:rFonts w:ascii="Times New Roman" w:hAnsi="Times New Roman"/>
        </w:rPr>
        <w:t>A. Erklärungsirrtum (§ 119 Abs. 1 Alt. 1 BGB)</w:t>
      </w:r>
    </w:p>
    <w:p>
      <w:pPr>
        <w:jc w:val="left"/>
      </w:pPr>
      <w:r>
        <w:rPr>
          <w:b/>
        </w:rPr>
        <w:t>Definition:</w:t>
      </w:r>
      <w:r>
        <w:t xml:space="preserve"> Der Erklärende irrt über den Inhalt oder Umfang seiner Erklärung selbst — er erklärt etwas anderes als er will.</w:t>
      </w:r>
    </w:p>
    <w:p>
      <w:pPr>
        <w:jc w:val="left"/>
      </w:pPr>
      <w:r>
        <w:rPr>
          <w:b/>
        </w:rPr>
        <w:t>Typische Fälle:</w:t>
      </w:r>
    </w:p>
    <w:p>
      <w:pPr>
        <w:pStyle w:val="ListBullet"/>
      </w:pPr>
      <w:r>
        <w:t>Versprechen: Verlesung bei mündlicher Erklärung</w:t>
      </w:r>
    </w:p>
    <w:p>
      <w:pPr>
        <w:pStyle w:val="ListBullet"/>
      </w:pPr>
      <w:r>
        <w:t>Verschreiben: Falsche Zahl tippt / schreibt sich (Verwechslung 4.900 / 9.800 EUR)</w:t>
      </w:r>
    </w:p>
    <w:p>
      <w:pPr>
        <w:pStyle w:val="ListBullet"/>
      </w:pPr>
      <w:r>
        <w:t>Verlesen: Erklärung wird ohne genaues Lesen unterschrieben</w:t>
      </w:r>
    </w:p>
    <w:p>
      <w:pPr>
        <w:pStyle w:val="ListBullet"/>
      </w:pPr>
      <w:r>
        <w:t>Vergreifen: Falsches Formular gegriffen</w:t>
      </w:r>
    </w:p>
    <w:p>
      <w:pPr>
        <w:jc w:val="left"/>
      </w:pPr>
      <w:r>
        <w:rPr>
          <w:b/>
        </w:rPr>
        <w:t>Merkformel:</w:t>
      </w:r>
      <w:r>
        <w:t xml:space="preserve"> Gewolltes ≠ Erklärtes (wegen mechanischem Fehler bei der Äußerung)</w:t>
      </w:r>
    </w:p>
    <w:p>
      <w:pPr>
        <w:jc w:val="left"/>
      </w:pPr>
      <w:r>
        <w:rPr>
          <w:b/>
        </w:rPr>
        <w:t>Beispiel aus der Akte:</w:t>
      </w:r>
      <w:r>
        <w:t xml:space="preserve"> P schreibt / unterschreibt Vertrag mit 9.800 EUR, obwohl sie 4.900 EUR gewollt hat — klassischer Erklärungsirrtum (Verlesen / Verwechseln).</w:t>
      </w:r>
    </w:p>
    <w:p>
      <w:pPr>
        <w:pStyle w:val="Heading3"/>
      </w:pPr>
      <w:r>
        <w:rPr>
          <w:rFonts w:ascii="Times New Roman" w:hAnsi="Times New Roman"/>
        </w:rPr>
        <w:t>B. Inhaltsirrtum (§ 119 Abs. 1 Alt. 2 BGB)</w:t>
      </w:r>
    </w:p>
    <w:p>
      <w:pPr>
        <w:jc w:val="left"/>
      </w:pPr>
      <w:r>
        <w:rPr>
          <w:b/>
        </w:rPr>
        <w:t>Definition:</w:t>
      </w:r>
      <w:r>
        <w:t xml:space="preserve"> Der Erklärende irrt über die </w:t>
      </w:r>
      <w:r>
        <w:rPr>
          <w:b/>
        </w:rPr>
        <w:t>Bedeutung</w:t>
      </w:r>
      <w:r>
        <w:t xml:space="preserve"> seiner Erklärung — er versteht seinen eigenen Ausdruck falsch.</w:t>
      </w:r>
    </w:p>
    <w:p>
      <w:pPr>
        <w:jc w:val="left"/>
      </w:pPr>
      <w:r>
        <w:rPr>
          <w:b/>
        </w:rPr>
        <w:t>Typische Fälle:</w:t>
      </w:r>
    </w:p>
    <w:p>
      <w:pPr>
        <w:pStyle w:val="ListBullet"/>
      </w:pPr>
      <w:r>
        <w:t>Falsches Verständnis eines Rechtsbegriffs (z.B. „Pacht" statt „Miete")</w:t>
      </w:r>
    </w:p>
    <w:p>
      <w:pPr>
        <w:pStyle w:val="ListBullet"/>
      </w:pPr>
      <w:r>
        <w:t>Unkenntnis des Bedeutungsinhalts eines fremdsprachigen Ausdrucks</w:t>
      </w:r>
    </w:p>
    <w:p>
      <w:pPr>
        <w:pStyle w:val="ListBullet"/>
      </w:pPr>
      <w:r>
        <w:t>Irrtum über den Umfang einer Verpflichtung laut Vertragsbegriff</w:t>
      </w:r>
    </w:p>
    <w:p>
      <w:pPr>
        <w:jc w:val="left"/>
      </w:pPr>
      <w:r>
        <w:rPr>
          <w:b/>
        </w:rPr>
        <w:t>Merkformel:</w:t>
      </w:r>
      <w:r>
        <w:t xml:space="preserve"> Erklärtes = Gewolltes, aber der Erklärende versteht die Bedeutung des Erklärten falsch.</w:t>
      </w:r>
    </w:p>
    <w:p>
      <w:pPr>
        <w:jc w:val="left"/>
      </w:pPr>
      <w:r>
        <w:rPr>
          <w:b/>
        </w:rPr>
        <w:t>Abgrenzung zum Erklärungsirrtum:</w:t>
      </w:r>
      <w:r>
        <w:t xml:space="preserve"> Beim Inhaltsirrtum ist die Erklärung selbst korrekt wiedergegeben — der Irrtum liegt in der mentalen Verarbeitung.</w:t>
      </w:r>
    </w:p>
    <w:p>
      <w:pPr>
        <w:pStyle w:val="Heading3"/>
      </w:pPr>
      <w:r>
        <w:rPr>
          <w:rFonts w:ascii="Times New Roman" w:hAnsi="Times New Roman"/>
        </w:rPr>
        <w:t>C. Motivirrtum — Grundsätzlich Unbeachtlich</w:t>
      </w:r>
    </w:p>
    <w:p>
      <w:pPr>
        <w:jc w:val="left"/>
      </w:pPr>
      <w:r>
        <w:rPr>
          <w:b/>
        </w:rPr>
        <w:t>Definition:</w:t>
      </w:r>
      <w:r>
        <w:t xml:space="preserve"> Der Erklärende irrt über </w:t>
      </w:r>
      <w:r>
        <w:rPr>
          <w:b/>
        </w:rPr>
        <w:t>außerhalb des Rechtsgeschäfts liegende Umstände</w:t>
      </w:r>
      <w:r>
        <w:t>, die sein Motiv für das Rechtsgeschäft bilden.</w:t>
      </w:r>
    </w:p>
    <w:p>
      <w:pPr>
        <w:jc w:val="left"/>
      </w:pPr>
      <w:r>
        <w:rPr>
          <w:b/>
        </w:rPr>
        <w:t>Typische Fälle:</w:t>
      </w:r>
    </w:p>
    <w:p>
      <w:pPr>
        <w:pStyle w:val="ListBullet"/>
      </w:pPr>
      <w:r>
        <w:t>Irrtum über die Rentabilität einer Investition</w:t>
      </w:r>
    </w:p>
    <w:p>
      <w:pPr>
        <w:pStyle w:val="ListBullet"/>
      </w:pPr>
      <w:r>
        <w:t>Fehlerhafte Kalkulation</w:t>
      </w:r>
    </w:p>
    <w:p>
      <w:pPr>
        <w:pStyle w:val="ListBullet"/>
      </w:pPr>
      <w:r>
        <w:t>Irrtum über künftige Preisentwicklungen</w:t>
      </w:r>
    </w:p>
    <w:p>
      <w:pPr>
        <w:pStyle w:val="ListBullet"/>
      </w:pPr>
      <w:r>
        <w:t>Irrtum über Eigenschaften eines Grundstücks, die er für selbstverständlich hielt</w:t>
      </w:r>
    </w:p>
    <w:p>
      <w:pPr>
        <w:jc w:val="left"/>
      </w:pPr>
      <w:r>
        <w:rPr>
          <w:b/>
        </w:rPr>
        <w:t>Merkformel:</w:t>
      </w:r>
      <w:r>
        <w:t xml:space="preserve"> Erklärtes = Gewolltes = Verstandenes — nur die Beweggründe erweisen sich als irrtümlich.</w:t>
      </w:r>
    </w:p>
    <w:p>
      <w:pPr>
        <w:jc w:val="left"/>
      </w:pPr>
      <w:r>
        <w:rPr>
          <w:b/>
        </w:rPr>
        <w:t>Beachtlichkeit:</w:t>
      </w:r>
      <w:r>
        <w:t xml:space="preserve"> Der Motivirrtum ist grundsätzlich unbeachtlich (BGH NJW 1995, 190). Dies folgt aus dem Prinzip der Eigenverantwortung und dem Vertrauensschutz des Erklärungsempfängers.</w:t>
      </w:r>
    </w:p>
    <w:p>
      <w:pPr>
        <w:jc w:val="left"/>
      </w:pPr>
      <w:r>
        <w:rPr>
          <w:b/>
        </w:rPr>
        <w:t>Ausnahme:</w:t>
      </w:r>
      <w:r>
        <w:t xml:space="preserve"> § 119 Abs. 2 BGB macht den Irrtum über verkehrswesentliche Eigenschaften einer Person oder Sache ausnahmsweise beachtlich.</w:t>
      </w:r>
    </w:p>
    <w:p>
      <w:pPr>
        <w:pStyle w:val="Heading3"/>
      </w:pPr>
      <w:r>
        <w:rPr>
          <w:rFonts w:ascii="Times New Roman" w:hAnsi="Times New Roman"/>
        </w:rPr>
        <w:t>D. Eigenschaftsirrtum (§ 119 Abs. 2 BGB)</w:t>
      </w:r>
    </w:p>
    <w:p>
      <w:pPr>
        <w:jc w:val="left"/>
      </w:pPr>
      <w:r>
        <w:rPr>
          <w:b/>
        </w:rPr>
        <w:t>Definition:</w:t>
      </w:r>
      <w:r>
        <w:t xml:space="preserve"> Irrtum über </w:t>
      </w:r>
      <w:r>
        <w:rPr>
          <w:b/>
        </w:rPr>
        <w:t>wesentliche Eigenschaften</w:t>
      </w:r>
      <w:r>
        <w:t xml:space="preserve"> einer Person oder Sache, die im Verkehr als wesentlich gelten.</w:t>
      </w:r>
    </w:p>
    <w:p>
      <w:pPr>
        <w:jc w:val="left"/>
      </w:pPr>
      <w:r>
        <w:rPr>
          <w:b/>
        </w:rPr>
        <w:t>Abgrenzung Motivirrtum:</w:t>
      </w:r>
      <w:r>
        <w:t xml:space="preserve"> Während der Motivirrtum die subjektiven Beweggründe betrifft, adressiert § 119 Abs. 2 BGB objektiv bedeutsame, sachspezifische Qualitätsmerkmale (BGH NJW 1988, 2597).</w:t>
      </w:r>
    </w:p>
    <w:p>
      <w:pPr>
        <w:jc w:val="left"/>
      </w:pPr>
      <w:r>
        <w:rPr>
          <w:b/>
        </w:rPr>
        <w:t>Beispiel:</w:t>
      </w:r>
      <w:r>
        <w:t xml:space="preserve"> Irrtum über Bonität eines Schuldners (Person), Reinheitsgrad von Gold (Sache).</w:t>
      </w:r>
    </w:p>
    <w:p/>
    <w:p>
      <w:pPr>
        <w:pStyle w:val="Heading2"/>
      </w:pPr>
      <w:r>
        <w:rPr>
          <w:rFonts w:ascii="Times New Roman" w:hAnsi="Times New Roman"/>
        </w:rPr>
        <w:t>III. Anwendung auf Fall Pohlmann / Ratschke</w:t>
      </w:r>
    </w:p>
    <w:p>
      <w:pPr>
        <w:pStyle w:val="Heading3"/>
      </w:pPr>
      <w:r>
        <w:rPr>
          <w:rFonts w:ascii="Times New Roman" w:hAnsi="Times New Roman"/>
        </w:rPr>
        <w:t>Sachverhalt-Würdigung</w:t>
      </w:r>
    </w:p>
    <w:p>
      <w:pPr>
        <w:jc w:val="left"/>
      </w:pPr>
      <w:r>
        <w:t>P behauptet, sie habe beim Unterzeichnen die Ziffer „9.800" nicht gelesen, sondern gedanklich die verhandelte Zahl „4.900" eingetragen. Es geht nicht darum, dass P einen falschen Entschluss getroffen hat (Motivirrtum), sondern darum, dass die abgegebene Erklärung inhaltlich nicht ihrem Willen entsprach — sie hat die Ziffer schlicht nicht wahrgenommen oder verwechselt.</w:t>
      </w:r>
    </w:p>
    <w:p>
      <w:pPr>
        <w:jc w:val="left"/>
      </w:pPr>
      <w:r>
        <w:rPr>
          <w:b/>
        </w:rPr>
        <w:t>Differenzierung: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Variante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Qualifikation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Anfechtbarkeit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 unterschreibt ohne Lesen, verwechselt 4.900/9.800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Erklärungsirrtum (§ 119 I Alt. 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 liest 9.800, glaubt aber dieser Preis sei marktüblich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Motivirrtum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Nein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 liest 9.800, versteht darunter den Jahrespreis, nicht Monatspreis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Inhaltsirrtum (§ 119 I Alt. 2)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Ja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 unterschreibt in völliger Benommenheit ohne jede Aufmerksamkeit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105 II BGB (Geschäftsunfähigkeit)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Nichtigkeit ex lege</w:t>
            </w:r>
          </w:p>
        </w:tc>
      </w:tr>
    </w:tbl>
    <w:p>
      <w:pPr>
        <w:jc w:val="left"/>
      </w:pPr>
      <w:r>
        <w:rPr>
          <w:b/>
        </w:rPr>
        <w:t>Im konkreten Fall:</w:t>
      </w:r>
      <w:r>
        <w:t xml:space="preserve"> P beschreibt ein Verlesen/Nichterkennen der Ziffer — Erklärungsirrtum (§ 119 I Alt. 1 BGB). Hilfsweise: falls Gericht Verwechslung des Vertragssinns annimmt, Inhaltsirrtum (§ 119 I Alt. 2 BGB). Kein Motivirrtum.</w:t>
      </w:r>
    </w:p>
    <w:p/>
    <w:p>
      <w:pPr>
        <w:pStyle w:val="Heading2"/>
      </w:pPr>
      <w:r>
        <w:rPr>
          <w:rFonts w:ascii="Times New Roman" w:hAnsi="Times New Roman"/>
        </w:rPr>
        <w:t>IV. Argumentation der Gegenseite (Ratschke)</w:t>
      </w:r>
    </w:p>
    <w:p>
      <w:pPr>
        <w:jc w:val="left"/>
      </w:pPr>
      <w:r>
        <w:rPr>
          <w:b/>
        </w:rPr>
        <w:t>Einwand 1:</w:t>
      </w:r>
      <w:r>
        <w:t xml:space="preserve"> Bei erfahrener Unternehmerin liegt kein Erklärungsirrtum vor; P hätte sorgfältig lesen müssen — das ist ein Fahrlässigkeitsvorwurf, kein Widerspruch zur Irrtumslehre. </w:t>
      </w:r>
      <w:r>
        <w:rPr>
          <w:b/>
        </w:rPr>
        <w:t>Entgegnung:</w:t>
      </w:r>
      <w:r>
        <w:t xml:space="preserve"> Die Anfechtbarkeit ist unabhängig vom Verschuldensgrad des Irrtums (str., aber h.M.); Verschulden ist nur bei § 122 BGB relevant.</w:t>
      </w:r>
    </w:p>
    <w:p>
      <w:pPr>
        <w:jc w:val="left"/>
      </w:pPr>
      <w:r>
        <w:rPr>
          <w:b/>
        </w:rPr>
        <w:t>Einwand 2:</w:t>
      </w:r>
      <w:r>
        <w:t xml:space="preserve"> P habe den Preis gekannt und trotzdem unterschrieben — das sei Motivirrtum. </w:t>
      </w:r>
      <w:r>
        <w:rPr>
          <w:b/>
        </w:rPr>
        <w:t>Entgegnung:</w:t>
      </w:r>
      <w:r>
        <w:t xml:space="preserve"> Es ist zu differenzieren, ob P die Zahl „kannte" oder sie nicht wahrgenommen hat. Nach eigenem Vortrag: nicht wahrgenommen (Erklärungsirrtum).</w:t>
      </w:r>
    </w:p>
    <w:p/>
    <w:p>
      <w:pPr>
        <w:pStyle w:val="Heading2"/>
      </w:pPr>
      <w:r>
        <w:rPr>
          <w:rFonts w:ascii="Times New Roman" w:hAnsi="Times New Roman"/>
        </w:rPr>
        <w:t>V. Merkhilfe für die Klausur</w:t>
      </w:r>
    </w:p>
    <w:p>
      <w:pPr>
        <w:jc w:val="left"/>
      </w:pPr>
      <w:r>
        <w:t>```</w:t>
      </w:r>
    </w:p>
    <w:p>
      <w:pPr>
        <w:jc w:val="left"/>
      </w:pPr>
      <w:r>
        <w:t>Gewolltes ← → Erklärtes ← → Verstandenes</w:t>
      </w:r>
    </w:p>
    <w:p>
      <w:pPr>
        <w:jc w:val="left"/>
      </w:pPr>
      <w:r>
        <w:t>Erklärungsirrtum  Inhaltsirrtum</w:t>
      </w:r>
    </w:p>
    <w:p>
      <w:pPr>
        <w:jc w:val="left"/>
      </w:pPr>
      <w:r>
        <w:t>(§ 119 I Alt. 1)  (§ 119 I Alt. 2)</w:t>
      </w:r>
    </w:p>
    <w:p>
      <w:pPr>
        <w:jc w:val="left"/>
      </w:pPr>
      <w:r>
        <w:t>Ursache BEIM Erklären</w:t>
      </w:r>
    </w:p>
    <w:p>
      <w:pPr>
        <w:jc w:val="left"/>
      </w:pPr>
      <w:r>
        <w:t>(mechanischer Fehler, Verlesen, Verschreiben)</w:t>
      </w:r>
    </w:p>
    <w:p>
      <w:pPr>
        <w:jc w:val="left"/>
      </w:pPr>
      <w:r>
        <w:t>Motivation falsch → Motivirrtum → NICHT anfechtbar</w:t>
      </w:r>
    </w:p>
    <w:p>
      <w:pPr>
        <w:jc w:val="left"/>
      </w:pPr>
      <w:r>
        <w:t>Eigenschaft wesentlich falsch → § 119 II → anfechtbar</w:t>
      </w:r>
    </w:p>
    <w:p>
      <w:pPr>
        <w:jc w:val="left"/>
      </w:pPr>
      <w:r>
        <w:t>```</w:t>
      </w:r>
    </w:p>
    <w:p/>
    <w:p>
      <w:pPr>
        <w:jc w:val="left"/>
      </w:pPr>
      <w:r>
        <w:rPr>
          <w:b/>
        </w:rPr>
        <w:t>Quellen:</w:t>
      </w:r>
    </w:p>
    <w:p>
      <w:pPr>
        <w:jc w:val="left"/>
      </w:pPr>
      <w:r>
        <w:t>§§ 119, 120 BGB: https://dejure.org/gesetze/BGB/119.html</w:t>
      </w:r>
    </w:p>
    <w:p>
      <w:pPr>
        <w:jc w:val="left"/>
      </w:pPr>
      <w:r>
        <w:t>BGH NJW 1995, 190 (Motivirrtum unbeachtlich): https://www.bundesgerichtshof.de</w:t>
      </w:r>
    </w:p>
    <w:p>
      <w:pPr>
        <w:jc w:val="left"/>
      </w:pPr>
      <w:r>
        <w:t>BGH NJW 1988, 2597 (Eigenschaftsirrtum § 119 II): https://www.bundesgerichtshof.de</w:t>
      </w:r>
    </w:p>
    <w:p>
      <w:pPr>
        <w:jc w:val="left"/>
      </w:pPr>
      <w:r>
        <w:t>Flume, Allgemeiner Teil des Bürgerlichen Rechts Bd. II, § 23 (Klassiker)</w:t>
      </w:r>
    </w:p>
    <w:p>
      <w:pPr>
        <w:jc w:val="left"/>
      </w:pPr>
      <w:r>
        <w:t>MüKoBGB/Armbrüster, 9. Aufl. 2024, § 119 Rn. 60 ff.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