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Rechtsscheinhaftung — Duldungs- und Anscheinsvollmacht im BGB AT</w:t>
      </w:r>
    </w:p>
    <w:p>
      <w:pPr>
        <w:jc w:val="left"/>
      </w:pPr>
      <w:r>
        <w:rPr>
          <w:b/>
        </w:rPr>
        <w:t>Bearbeiter:</w:t>
      </w:r>
      <w:r>
        <w:t xml:space="preserve"> RA Dr. Heinrich Schweizer-Loberg</w:t>
      </w:r>
    </w:p>
    <w:p>
      <w:pPr>
        <w:jc w:val="left"/>
      </w:pPr>
      <w:r>
        <w:rPr>
          <w:b/>
        </w:rPr>
        <w:t>Datum:</w:t>
      </w:r>
      <w:r>
        <w:t xml:space="preserve"> 22. April 2026</w:t>
      </w:r>
    </w:p>
    <w:p>
      <w:pPr>
        <w:jc w:val="left"/>
      </w:pPr>
      <w:r>
        <w:rPr>
          <w:b/>
        </w:rPr>
        <w:t>Bezug:</w:t>
      </w:r>
      <w:r>
        <w:t xml:space="preserve"> Vollmacht Ammenwald (Steuerberater) und Container-Praktikant Lübbers; Vertiefung Klausur BGB AT</w:t>
      </w:r>
    </w:p>
    <w:p/>
    <w:p>
      <w:pPr>
        <w:pStyle w:val="Heading2"/>
      </w:pPr>
      <w:r>
        <w:rPr>
          <w:rFonts w:ascii="Times New Roman" w:hAnsi="Times New Roman"/>
        </w:rPr>
        <w:t>I. Einleitung</w:t>
      </w:r>
    </w:p>
    <w:p>
      <w:pPr>
        <w:jc w:val="left"/>
      </w:pPr>
      <w:r>
        <w:t>Die Lehre von der Duldungs- und Anscheinsvollmacht hat der BGH als richterrechtliche Ergänzung zu den §§ 164 ff. BGB entwickelt. Sie schließt die Lücke zwischen dem Schutz des gutgläubigen Dritten und dem Grundsatz, dass niemand ohne Vollmacht für einen anderen handeln kann.</w:t>
      </w:r>
    </w:p>
    <w:p/>
    <w:p>
      <w:pPr>
        <w:pStyle w:val="Heading2"/>
      </w:pPr>
      <w:r>
        <w:rPr>
          <w:rFonts w:ascii="Times New Roman" w:hAnsi="Times New Roman"/>
        </w:rPr>
        <w:t>II. Duldungsvollmacht</w:t>
      </w:r>
    </w:p>
    <w:p>
      <w:pPr>
        <w:pStyle w:val="Heading3"/>
      </w:pPr>
      <w:r>
        <w:rPr>
          <w:rFonts w:ascii="Times New Roman" w:hAnsi="Times New Roman"/>
        </w:rPr>
        <w:t>Definition</w:t>
      </w:r>
    </w:p>
    <w:p>
      <w:pPr>
        <w:jc w:val="left"/>
      </w:pPr>
      <w:r>
        <w:t xml:space="preserve">Eine </w:t>
      </w:r>
      <w:r>
        <w:rPr>
          <w:b/>
        </w:rPr>
        <w:t>Duldungsvollmacht</w:t>
      </w:r>
      <w:r>
        <w:t xml:space="preserve"> liegt vor, wenn der Vertretene das Auftreten des Scheintreters kennt und es bewusst geschehen lässt, ohne es zu untersagen. Der gutgläubige Dritte darf dann auf das Bestehen einer Vollmacht vertrauen (BGH NJW 1966, 1915 — Leitentscheidung).</w:t>
      </w:r>
    </w:p>
    <w:p>
      <w:pPr>
        <w:jc w:val="left"/>
      </w:pPr>
      <w:r>
        <w:rPr>
          <w:b/>
        </w:rPr>
        <w:t>Tatbestandsmerkmale:</w:t>
      </w:r>
    </w:p>
    <w:p>
      <w:pPr>
        <w:pStyle w:val="ListNumber"/>
      </w:pPr>
      <w:r>
        <w:t>Der Vertreter tritt ohne Vollmacht im Namen des Vertretenen auf.</w:t>
      </w:r>
    </w:p>
    <w:p>
      <w:pPr>
        <w:pStyle w:val="ListNumber"/>
      </w:pPr>
      <w:r>
        <w:t>Der Vertretene hat Kenntnis vom Auftreten.</w:t>
      </w:r>
    </w:p>
    <w:p>
      <w:pPr>
        <w:pStyle w:val="ListNumber"/>
      </w:pPr>
      <w:r>
        <w:t>Der Vertretene duldet das Auftreten bewusst (kein Einschreiten, obwohl er könnte).</w:t>
      </w:r>
    </w:p>
    <w:p>
      <w:pPr>
        <w:pStyle w:val="ListNumber"/>
      </w:pPr>
      <w:r>
        <w:t>Der Dritte vertraut auf das Bestehen einer Vollmacht und handelt schutzwürdig.</w:t>
      </w:r>
    </w:p>
    <w:p>
      <w:pPr>
        <w:jc w:val="left"/>
      </w:pPr>
      <w:r>
        <w:rPr>
          <w:b/>
        </w:rPr>
        <w:t>Rechtsfolge:</w:t>
      </w:r>
      <w:r>
        <w:t xml:space="preserve"> Der Vertretene muss sich wie bei einer erteilten Vollmacht behandeln lassen — der Vertrag ist wirksam (analog § 164 Abs. 1 BGB).</w:t>
      </w:r>
    </w:p>
    <w:p>
      <w:pPr>
        <w:pStyle w:val="Heading3"/>
      </w:pPr>
      <w:r>
        <w:rPr>
          <w:rFonts w:ascii="Times New Roman" w:hAnsi="Times New Roman"/>
        </w:rPr>
        <w:t>Anwendung auf Fall Pohlmann / Lübbers</w:t>
      </w:r>
    </w:p>
    <w:p>
      <w:pPr>
        <w:jc w:val="left"/>
      </w:pPr>
      <w:r>
        <w:t xml:space="preserve">Lübbers hat erstmalig im Namen der GmbH eine große Bestellung aufgegeben. P hat dies nicht zuvor geduldet (kein wiederholtes Muster). </w:t>
      </w:r>
      <w:r>
        <w:rPr>
          <w:b/>
        </w:rPr>
        <w:t>Duldungsvollmacht (–).</w:t>
      </w:r>
    </w:p>
    <w:p>
      <w:pPr>
        <w:pStyle w:val="Heading3"/>
      </w:pPr>
      <w:r>
        <w:rPr>
          <w:rFonts w:ascii="Times New Roman" w:hAnsi="Times New Roman"/>
        </w:rPr>
        <w:t>Anwendung auf Fall Pohlmann / Ammenwald</w:t>
      </w:r>
    </w:p>
    <w:p>
      <w:pPr>
        <w:jc w:val="left"/>
      </w:pPr>
      <w:r>
        <w:t>P hat Ammenwald von 2018 bis 2023 gegenüber dem Finanzamt und anderen Behörden als Vertreter auftreten lassen. Nach Mandatsende 2023 hat P das Finanzamt nicht informiert. Hat P gewusst, dass Ammenwald weiterhin auftritt? Stand der Ermittlungen: P hatte keine Kenntnis vom Auftreten Ammenwalds im Februar 2026.</w:t>
      </w:r>
    </w:p>
    <w:p>
      <w:pPr>
        <w:jc w:val="left"/>
      </w:pPr>
      <w:r>
        <w:t xml:space="preserve">Mangels positiver Kenntnis von Ammenwalds Auftreten: </w:t>
      </w:r>
      <w:r>
        <w:rPr>
          <w:b/>
        </w:rPr>
        <w:t>Duldungsvollmacht fraglich (–)</w:t>
      </w:r>
      <w:r>
        <w:t>.</w:t>
      </w:r>
    </w:p>
    <w:p/>
    <w:p>
      <w:pPr>
        <w:pStyle w:val="Heading2"/>
      </w:pPr>
      <w:r>
        <w:rPr>
          <w:rFonts w:ascii="Times New Roman" w:hAnsi="Times New Roman"/>
        </w:rPr>
        <w:t>III. Anscheinsvollmacht</w:t>
      </w:r>
    </w:p>
    <w:p>
      <w:pPr>
        <w:pStyle w:val="Heading3"/>
      </w:pPr>
      <w:r>
        <w:rPr>
          <w:rFonts w:ascii="Times New Roman" w:hAnsi="Times New Roman"/>
        </w:rPr>
        <w:t>Definition</w:t>
      </w:r>
    </w:p>
    <w:p>
      <w:pPr>
        <w:jc w:val="left"/>
      </w:pPr>
      <w:r>
        <w:t xml:space="preserve">Eine </w:t>
      </w:r>
      <w:r>
        <w:rPr>
          <w:b/>
        </w:rPr>
        <w:t>Anscheinsvollmacht</w:t>
      </w:r>
      <w:r>
        <w:t xml:space="preserve"> entsteht, wenn der Vertretene das Auftreten des Scheintreters zwar nicht kennt, es aber bei pflichtgemäßer Sorgfalt kennen und verhindern müsste; der gutgläubige Dritte vertraut auf das Bestehen einer Vollmacht (BGH NJW 1966, 1915; BGH NJW 2017, 1169).</w:t>
      </w:r>
    </w:p>
    <w:p>
      <w:pPr>
        <w:jc w:val="left"/>
      </w:pPr>
      <w:r>
        <w:rPr>
          <w:b/>
        </w:rPr>
        <w:t>Tatbestandsmerkmale:</w:t>
      </w:r>
    </w:p>
    <w:p>
      <w:pPr>
        <w:pStyle w:val="ListNumber"/>
      </w:pPr>
      <w:r>
        <w:t>Der Vertreter tritt ohne Vollmacht im Namen des Vertretenen auf.</w:t>
      </w:r>
    </w:p>
    <w:p>
      <w:pPr>
        <w:pStyle w:val="ListNumber"/>
      </w:pPr>
      <w:r>
        <w:t>Der Vertretene kennt das Auftreten nicht — aber:</w:t>
      </w:r>
    </w:p>
    <w:p>
      <w:pPr>
        <w:pStyle w:val="ListNumber"/>
      </w:pPr>
      <w:r>
        <w:t>Der Vertretene hätte es bei pflichtgemäßer Sorgfalt kennen und verhindern können (Verschulden!).</w:t>
      </w:r>
    </w:p>
    <w:p>
      <w:pPr>
        <w:pStyle w:val="ListNumber"/>
      </w:pPr>
      <w:r>
        <w:t>Der Dritte hat in das Bestehen der Vollmacht vertraut und war schutzwürdig.</w:t>
      </w:r>
    </w:p>
    <w:p>
      <w:pPr>
        <w:pStyle w:val="ListNumber"/>
      </w:pPr>
      <w:r>
        <w:t>Das Vertrauen des Dritten war durch das Verhalten des Vertretenen in der Vergangenheit begründet (Zurechnungsgedanke).</w:t>
      </w:r>
    </w:p>
    <w:p>
      <w:pPr>
        <w:jc w:val="left"/>
      </w:pPr>
      <w:r>
        <w:rPr>
          <w:b/>
        </w:rPr>
        <w:t>Abgrenzung Duldungs- vs. Anscheinsvollmacht:</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Merkmal</w:t>
            </w:r>
          </w:p>
        </w:tc>
        <w:tc>
          <w:tcPr>
            <w:tcW w:type="dxa" w:w="3024"/>
          </w:tcPr>
          <w:p>
            <w:r>
              <w:rPr>
                <w:rFonts w:ascii="Times New Roman" w:hAnsi="Times New Roman"/>
                <w:b/>
                <w:sz w:val="20"/>
              </w:rPr>
              <w:t>Duldungsvollmacht</w:t>
            </w:r>
          </w:p>
        </w:tc>
        <w:tc>
          <w:tcPr>
            <w:tcW w:type="dxa" w:w="3024"/>
          </w:tcPr>
          <w:p>
            <w:r>
              <w:rPr>
                <w:rFonts w:ascii="Times New Roman" w:hAnsi="Times New Roman"/>
                <w:b/>
                <w:sz w:val="20"/>
              </w:rPr>
              <w:t>Anscheinsvollmacht</w:t>
            </w:r>
          </w:p>
        </w:tc>
      </w:tr>
      <w:tr>
        <w:tc>
          <w:tcPr>
            <w:tcW w:type="dxa" w:w="3024"/>
          </w:tcPr>
          <w:p>
            <w:r>
              <w:rPr>
                <w:rFonts w:ascii="Times New Roman" w:hAnsi="Times New Roman"/>
                <w:sz w:val="20"/>
              </w:rPr>
              <w:t>Kenntnis des Vertretenen</w:t>
            </w:r>
          </w:p>
        </w:tc>
        <w:tc>
          <w:tcPr>
            <w:tcW w:type="dxa" w:w="3024"/>
          </w:tcPr>
          <w:p>
            <w:r>
              <w:rPr>
                <w:rFonts w:ascii="Times New Roman" w:hAnsi="Times New Roman"/>
                <w:sz w:val="20"/>
              </w:rPr>
              <w:t>Positiv (weiß davon)</w:t>
            </w:r>
          </w:p>
        </w:tc>
        <w:tc>
          <w:tcPr>
            <w:tcW w:type="dxa" w:w="3024"/>
          </w:tcPr>
          <w:p>
            <w:r>
              <w:rPr>
                <w:rFonts w:ascii="Times New Roman" w:hAnsi="Times New Roman"/>
                <w:sz w:val="20"/>
              </w:rPr>
              <w:t>Negativ (weiß nicht)</w:t>
            </w:r>
          </w:p>
        </w:tc>
      </w:tr>
      <w:tr>
        <w:tc>
          <w:tcPr>
            <w:tcW w:type="dxa" w:w="3024"/>
          </w:tcPr>
          <w:p>
            <w:r>
              <w:rPr>
                <w:rFonts w:ascii="Times New Roman" w:hAnsi="Times New Roman"/>
                <w:sz w:val="20"/>
              </w:rPr>
              <w:t>Verschulden des Vertretenen</w:t>
            </w:r>
          </w:p>
        </w:tc>
        <w:tc>
          <w:tcPr>
            <w:tcW w:type="dxa" w:w="3024"/>
          </w:tcPr>
          <w:p>
            <w:r>
              <w:rPr>
                <w:rFonts w:ascii="Times New Roman" w:hAnsi="Times New Roman"/>
                <w:sz w:val="20"/>
              </w:rPr>
              <w:t>Nicht erforderlich</w:t>
            </w:r>
          </w:p>
        </w:tc>
        <w:tc>
          <w:tcPr>
            <w:tcW w:type="dxa" w:w="3024"/>
          </w:tcPr>
          <w:p>
            <w:r>
              <w:rPr>
                <w:rFonts w:ascii="Times New Roman" w:hAnsi="Times New Roman"/>
                <w:sz w:val="20"/>
              </w:rPr>
              <w:t>Erforderlich (Fahrlässigkeit)</w:t>
            </w:r>
          </w:p>
        </w:tc>
      </w:tr>
      <w:tr>
        <w:tc>
          <w:tcPr>
            <w:tcW w:type="dxa" w:w="3024"/>
          </w:tcPr>
          <w:p>
            <w:r>
              <w:rPr>
                <w:rFonts w:ascii="Times New Roman" w:hAnsi="Times New Roman"/>
                <w:sz w:val="20"/>
              </w:rPr>
              <w:t>Dritter gutgläubig</w:t>
            </w:r>
          </w:p>
        </w:tc>
        <w:tc>
          <w:tcPr>
            <w:tcW w:type="dxa" w:w="3024"/>
          </w:tcPr>
          <w:p>
            <w:r>
              <w:rPr>
                <w:rFonts w:ascii="Times New Roman" w:hAnsi="Times New Roman"/>
                <w:sz w:val="20"/>
              </w:rPr>
              <w:t>Ja</w:t>
            </w:r>
          </w:p>
        </w:tc>
        <w:tc>
          <w:tcPr>
            <w:tcW w:type="dxa" w:w="3024"/>
          </w:tcPr>
          <w:p>
            <w:r>
              <w:rPr>
                <w:rFonts w:ascii="Times New Roman" w:hAnsi="Times New Roman"/>
                <w:sz w:val="20"/>
              </w:rPr>
              <w:t>Ja</w:t>
            </w:r>
          </w:p>
        </w:tc>
      </w:tr>
      <w:tr>
        <w:tc>
          <w:tcPr>
            <w:tcW w:type="dxa" w:w="3024"/>
          </w:tcPr>
          <w:p>
            <w:r>
              <w:rPr>
                <w:rFonts w:ascii="Times New Roman" w:hAnsi="Times New Roman"/>
                <w:sz w:val="20"/>
              </w:rPr>
              <w:t>Rechtsschein erzeugt durch</w:t>
            </w:r>
          </w:p>
        </w:tc>
        <w:tc>
          <w:tcPr>
            <w:tcW w:type="dxa" w:w="3024"/>
          </w:tcPr>
          <w:p>
            <w:r>
              <w:rPr>
                <w:rFonts w:ascii="Times New Roman" w:hAnsi="Times New Roman"/>
                <w:sz w:val="20"/>
              </w:rPr>
              <w:t>Billigung</w:t>
            </w:r>
          </w:p>
        </w:tc>
        <w:tc>
          <w:tcPr>
            <w:tcW w:type="dxa" w:w="3024"/>
          </w:tcPr>
          <w:p>
            <w:r>
              <w:rPr>
                <w:rFonts w:ascii="Times New Roman" w:hAnsi="Times New Roman"/>
                <w:sz w:val="20"/>
              </w:rPr>
              <w:t>Fahrlässige Unkenntnis</w:t>
            </w:r>
          </w:p>
        </w:tc>
      </w:tr>
    </w:tbl>
    <w:p>
      <w:pPr>
        <w:pStyle w:val="Heading3"/>
      </w:pPr>
      <w:r>
        <w:rPr>
          <w:rFonts w:ascii="Times New Roman" w:hAnsi="Times New Roman"/>
        </w:rPr>
        <w:t>Anwendung auf Fall Pohlmann / Ammenwald</w:t>
      </w:r>
    </w:p>
    <w:p>
      <w:pPr>
        <w:jc w:val="left"/>
      </w:pPr>
      <w:r>
        <w:rPr>
          <w:b/>
        </w:rPr>
        <w:t>Analyse:</w:t>
      </w:r>
    </w:p>
    <w:p>
      <w:pPr>
        <w:pStyle w:val="ListBullet"/>
      </w:pPr>
      <w:r>
        <w:t>Ammenwald trat über 5 Jahre (2018–2023) gegenüber Finanzamt auf — bekanntes Muster.</w:t>
      </w:r>
    </w:p>
    <w:p>
      <w:pPr>
        <w:pStyle w:val="ListBullet"/>
      </w:pPr>
      <w:r>
        <w:t>P hat nach Mandatsende 31.12.2023 das Finanzamt nicht informiert — Sorgfaltspflichtverletzung.</w:t>
      </w:r>
    </w:p>
    <w:p>
      <w:pPr>
        <w:pStyle w:val="ListBullet"/>
      </w:pPr>
      <w:r>
        <w:t>Das Finanzamt hat in das Fortbestehen der Vollmacht vertraut — schutzwürdig.</w:t>
      </w:r>
    </w:p>
    <w:p>
      <w:pPr>
        <w:pStyle w:val="ListBullet"/>
      </w:pPr>
      <w:r>
        <w:t>P hätte durch eine schlichte Mitteilung an das Finanzamt den Rechtsschein beseitigen können.</w:t>
      </w:r>
    </w:p>
    <w:p>
      <w:pPr>
        <w:jc w:val="left"/>
      </w:pPr>
      <w:r>
        <w:rPr>
          <w:b/>
        </w:rPr>
        <w:t>Ergebnis Anscheinsvollmacht:</w:t>
      </w:r>
      <w:r>
        <w:t xml:space="preserve"> (+) — Ammenwalds Erklärung gegenüber dem Finanzamt bindet die GmbH.</w:t>
      </w:r>
    </w:p>
    <w:p>
      <w:pPr>
        <w:pStyle w:val="Heading3"/>
      </w:pPr>
      <w:r>
        <w:rPr>
          <w:rFonts w:ascii="Times New Roman" w:hAnsi="Times New Roman"/>
        </w:rPr>
        <w:t>Anwendung auf Fall Pohlmann / Lübbers (Anscheinsvollmacht)</w:t>
      </w:r>
    </w:p>
    <w:p>
      <w:pPr>
        <w:pStyle w:val="ListBullet"/>
      </w:pPr>
      <w:r>
        <w:t>Lübbers ist neu (1. Ausbildungsjahr) — kein Muster früherer Bestellungen.</w:t>
      </w:r>
    </w:p>
    <w:p>
      <w:pPr>
        <w:pStyle w:val="ListBullet"/>
      </w:pPr>
      <w:r>
        <w:t>Meißen GmbH durfte nicht darauf vertrauen, ein Auszubildender sei ohne Weiteres zu Großbestellungen befugt.</w:t>
      </w:r>
    </w:p>
    <w:p>
      <w:pPr>
        <w:pStyle w:val="ListBullet"/>
      </w:pPr>
      <w:r>
        <w:t>Kein Zurechnungsgedanke durch wiederholtes Auftreten.</w:t>
      </w:r>
    </w:p>
    <w:p>
      <w:pPr>
        <w:jc w:val="left"/>
      </w:pPr>
      <w:r>
        <w:rPr>
          <w:b/>
        </w:rPr>
        <w:t>Ergebnis Anscheinsvollmacht Lübbers:</w:t>
      </w:r>
      <w:r>
        <w:t xml:space="preserve"> (–).</w:t>
      </w:r>
    </w:p>
    <w:p/>
    <w:p>
      <w:pPr>
        <w:pStyle w:val="Heading2"/>
      </w:pPr>
      <w:r>
        <w:rPr>
          <w:rFonts w:ascii="Times New Roman" w:hAnsi="Times New Roman"/>
        </w:rPr>
        <w:t>IV. Schutzmechanismen des BGB gegen Rechtsschein</w:t>
      </w:r>
    </w:p>
    <w:p>
      <w:pPr>
        <w:pStyle w:val="Heading3"/>
      </w:pPr>
      <w:r>
        <w:rPr>
          <w:rFonts w:ascii="Times New Roman" w:hAnsi="Times New Roman"/>
        </w:rPr>
        <w:t>§§ 170, 171, 172 BGB — Gesetzlich geregelte Rechtsscheinhaftung</w:t>
      </w:r>
    </w:p>
    <w:p>
      <w:pPr>
        <w:jc w:val="left"/>
      </w:pPr>
      <w:r>
        <w:rPr>
          <w:b/>
        </w:rPr>
        <w:t>§ 170 BGB (Außenvollmacht):</w:t>
      </w:r>
      <w:r>
        <w:t xml:space="preserve"> Bei Erteilung der Vollmacht gegenüber dem Dritten bleibt sie dem Dritten gegenüber wirksam, bis der Vertretene das Erlöschen mitteilt. → Direkt einschlägig für Ammenwald/Finanzamt.</w:t>
      </w:r>
    </w:p>
    <w:p>
      <w:pPr>
        <w:jc w:val="left"/>
      </w:pPr>
      <w:r>
        <w:rPr>
          <w:b/>
        </w:rPr>
        <w:t>§ 171 BGB (Kundgebung):</w:t>
      </w:r>
      <w:r>
        <w:t xml:space="preserve"> Hat der Vertretene in öffentlicher Bekanntmachung einer Person eine Vollmacht erteilt, bleibt diese bis zur Rücknahme der Bekanntmachung wirksam. → Nicht einschlägig hier.</w:t>
      </w:r>
    </w:p>
    <w:p>
      <w:pPr>
        <w:jc w:val="left"/>
      </w:pPr>
      <w:r>
        <w:rPr>
          <w:b/>
        </w:rPr>
        <w:t>§ 172 BGB (Vollmachtsurkunde):</w:t>
      </w:r>
      <w:r>
        <w:t xml:space="preserve"> Hat der Bevollmächtigte eine Vollmachtsurkunde erhalten und vorlegt, bleibt die Vollmacht ggü. dem Dritten wirksam, bis die Urkunde zurückgegeben oder kraftlos erklärt wird. → Nicht einschlägig: Ammenwald hat keine Urkunde vorgezeigt.</w:t>
      </w:r>
    </w:p>
    <w:p>
      <w:pPr>
        <w:jc w:val="left"/>
      </w:pPr>
      <w:r>
        <w:rPr>
          <w:b/>
        </w:rPr>
        <w:t>Ergebnis §§ 170 ff. BGB:</w:t>
      </w:r>
      <w:r>
        <w:t xml:space="preserve"> § 170 BGB greift bei Ammenwald direkt, weil Vollmacht ursprünglich dem Finanzamt (Dritter) gegenüber erteilt wurde und Erlöschen nicht mitgeteilt wurde.</w:t>
      </w:r>
    </w:p>
    <w:p/>
    <w:p>
      <w:pPr>
        <w:pStyle w:val="Heading2"/>
      </w:pPr>
      <w:r>
        <w:rPr>
          <w:rFonts w:ascii="Times New Roman" w:hAnsi="Times New Roman"/>
        </w:rPr>
        <w:t>V. Klausurhierarchie Vollmacht</w:t>
      </w:r>
    </w:p>
    <w:p>
      <w:pPr>
        <w:jc w:val="left"/>
      </w:pPr>
      <w:r>
        <w:t>```</w:t>
      </w:r>
    </w:p>
    <w:p>
      <w:pPr>
        <w:jc w:val="left"/>
      </w:pPr>
      <w:r>
        <w:t>Vollmacht vorhanden?</w:t>
      </w:r>
    </w:p>
    <w:p>
      <w:pPr>
        <w:jc w:val="left"/>
      </w:pPr>
      <w:r>
        <w:t>├── JA: Wirksamkeit prüfen (§§ 163, 164 ff. BGB)</w:t>
      </w:r>
    </w:p>
    <w:p>
      <w:pPr>
        <w:jc w:val="left"/>
      </w:pPr>
      <w:r>
        <w:t>└── NEIN: Rechtsschein?</w:t>
      </w:r>
    </w:p>
    <w:p>
      <w:pPr>
        <w:jc w:val="left"/>
      </w:pPr>
      <w:r>
        <w:t>├── § 170 BGB (Außenvollmacht, Erlöschen mitgeteilt?)</w:t>
      </w:r>
    </w:p>
    <w:p>
      <w:pPr>
        <w:jc w:val="left"/>
      </w:pPr>
      <w:r>
        <w:t>├── § 171 BGB (Kundgebung widerrufen?)</w:t>
      </w:r>
    </w:p>
    <w:p>
      <w:pPr>
        <w:jc w:val="left"/>
      </w:pPr>
      <w:r>
        <w:t>├── § 172 BGB (Urkunde zurückgegeben?)</w:t>
      </w:r>
    </w:p>
    <w:p>
      <w:pPr>
        <w:jc w:val="left"/>
      </w:pPr>
      <w:r>
        <w:t>├── Duldungsvollmacht (Kenntnis + Dulden)</w:t>
      </w:r>
    </w:p>
    <w:p>
      <w:pPr>
        <w:jc w:val="left"/>
      </w:pPr>
      <w:r>
        <w:t>└── Anscheinsvollmacht (Fahrlässigkeit + Muster)</w:t>
      </w:r>
    </w:p>
    <w:p>
      <w:pPr>
        <w:jc w:val="left"/>
      </w:pPr>
      <w:r>
        <w:t>└── §§ 177, 179 BGB (Genehmigung / falsus-Haftung)</w:t>
      </w:r>
    </w:p>
    <w:p>
      <w:pPr>
        <w:jc w:val="left"/>
      </w:pPr>
      <w:r>
        <w:t>```</w:t>
      </w:r>
    </w:p>
    <w:p>
      <w:pPr>
        <w:jc w:val="left"/>
      </w:pPr>
      <w:r>
        <w:rPr>
          <w:b/>
        </w:rPr>
        <w:t>Quellen:</w:t>
      </w:r>
    </w:p>
    <w:p>
      <w:pPr>
        <w:jc w:val="left"/>
      </w:pPr>
      <w:r>
        <w:t>§§ 167–179 BGB: https://dejure.org/gesetze/BGB/167.html</w:t>
      </w:r>
    </w:p>
    <w:p>
      <w:pPr>
        <w:jc w:val="left"/>
      </w:pPr>
      <w:r>
        <w:t>BGH NJW 1966, 1915 (Grundsatzentscheidung Duldungs-/Anscheinsvollmacht): https://openjur.de</w:t>
      </w:r>
    </w:p>
    <w:p>
      <w:pPr>
        <w:jc w:val="left"/>
      </w:pPr>
      <w:r>
        <w:t>BGH NJW 2017, 1169 (Anscheinsvollmacht aktuell): https://www.bundesgerichtshof.de</w:t>
      </w:r>
    </w:p>
    <w:p>
      <w:pPr>
        <w:jc w:val="left"/>
      </w:pPr>
      <w:r>
        <w:t>Staudinger/Schilken BGB, 2019, § 167 Rn. 39 ff. (Duldungsvollmacht)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