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Nichtigkeit nach §§ 134, 138 BGB — Gesetzesverstoß und Sittenwidrigkeit</w:t>
      </w:r>
    </w:p>
    <w:p>
      <w:pPr>
        <w:jc w:val="left"/>
      </w:pPr>
      <w:r>
        <w:rPr>
          <w:b/>
        </w:rPr>
        <w:t>Bearbeiter:</w:t>
      </w:r>
      <w:r>
        <w:t xml:space="preserve"> RA Dr. Heinrich Schweizer-Loberg</w:t>
      </w:r>
    </w:p>
    <w:p>
      <w:pPr>
        <w:jc w:val="left"/>
      </w:pPr>
      <w:r>
        <w:rPr>
          <w:b/>
        </w:rPr>
        <w:t>Datum:</w:t>
      </w:r>
      <w:r>
        <w:t xml:space="preserve"> 26. April 2026</w:t>
      </w:r>
    </w:p>
    <w:p>
      <w:pPr>
        <w:jc w:val="left"/>
      </w:pPr>
      <w:r>
        <w:rPr>
          <w:b/>
        </w:rPr>
        <w:t>Bezug:</w:t>
      </w:r>
      <w:r>
        <w:t xml:space="preserve"> Prüfung ob Pachtvertrag oder Container-Vertrag aus weiteren Gründen nichtig; Klausur BGB AT</w:t>
      </w:r>
    </w:p>
    <w:p/>
    <w:p>
      <w:pPr>
        <w:pStyle w:val="Heading2"/>
      </w:pPr>
      <w:r>
        <w:rPr>
          <w:rFonts w:ascii="Times New Roman" w:hAnsi="Times New Roman"/>
        </w:rPr>
        <w:t>I. Einleitung</w:t>
      </w:r>
    </w:p>
    <w:p>
      <w:pPr>
        <w:jc w:val="left"/>
      </w:pPr>
      <w:r>
        <w:t>Neben der Anfechtbarkeit wegen Irrtums (§ 119 BGB) oder arglistiger Täuschung (§ 123 BGB) kommen als eigenständige Nichtigkeitsgründe des BGB AT in Betracht:</w:t>
      </w:r>
    </w:p>
    <w:p>
      <w:pPr>
        <w:pStyle w:val="ListBullet"/>
      </w:pPr>
      <w:r>
        <w:t>Verstoß gegen ein gesetzliches Verbot (§ 134 BGB)</w:t>
      </w:r>
    </w:p>
    <w:p>
      <w:pPr>
        <w:pStyle w:val="ListBullet"/>
      </w:pPr>
      <w:r>
        <w:t>Sittenwidrigkeit / Wucher (§ 138 BGB)</w:t>
      </w:r>
    </w:p>
    <w:p>
      <w:pPr>
        <w:jc w:val="left"/>
      </w:pPr>
      <w:r>
        <w:t>Diese sind im Fall Pohlmann / Ratschke hilfsweise zu prüfen.</w:t>
      </w:r>
    </w:p>
    <w:p/>
    <w:p>
      <w:pPr>
        <w:pStyle w:val="Heading2"/>
      </w:pPr>
      <w:r>
        <w:rPr>
          <w:rFonts w:ascii="Times New Roman" w:hAnsi="Times New Roman"/>
        </w:rPr>
        <w:t>II. § 134 BGB — Verstoß gegen gesetzliches Verbot</w:t>
      </w:r>
    </w:p>
    <w:p>
      <w:pPr>
        <w:jc w:val="left"/>
      </w:pPr>
      <w:r>
        <w:rPr>
          <w:b/>
        </w:rPr>
        <w:t>Wortlaut:</w:t>
      </w:r>
      <w:r>
        <w:t xml:space="preserve"> „Ein Rechtsgeschäft, das gegen ein gesetzliches Verbot verstößt, ist nichtig, wenn sich nicht aus dem Gesetz ein anderes ergibt."</w:t>
      </w:r>
    </w:p>
    <w:p>
      <w:pPr>
        <w:pStyle w:val="Heading3"/>
      </w:pPr>
      <w:r>
        <w:rPr>
          <w:rFonts w:ascii="Times New Roman" w:hAnsi="Times New Roman"/>
        </w:rPr>
        <w:t>A. Tatbestand § 134 BGB</w:t>
      </w:r>
    </w:p>
    <w:p>
      <w:pPr>
        <w:jc w:val="left"/>
      </w:pPr>
      <w:r>
        <w:rPr>
          <w:b/>
        </w:rPr>
        <w:t>Definition:</w:t>
      </w:r>
      <w:r>
        <w:t xml:space="preserve"> Erforderlich ist (1) das Vorliegen eines Verbotsgesetzes (Rechtsnorm, die ein bestimmtes Rechtsgeschäft verbietet) und (2) ein Verstoß des konkreten Rechtsgeschäfts gegen dieses Verbot.</w:t>
      </w:r>
    </w:p>
    <w:p>
      <w:pPr>
        <w:jc w:val="left"/>
      </w:pPr>
      <w:r>
        <w:rPr>
          <w:b/>
        </w:rPr>
        <w:t>Abgrenzung:</w:t>
      </w:r>
      <w:r>
        <w:t xml:space="preserve"> § 134 BGB betrifft sog. „Verbotsgesetze" im Sinne von Normen, die das Rechtsgeschäft selbst (nicht nur eine Handlung daneben) untersagen. Bloße Ordnungsvorschriften ohne Verbotswirkung auf das Geschäft führen nicht zur Nichtigkeit.</w:t>
      </w:r>
    </w:p>
    <w:p>
      <w:pPr>
        <w:pStyle w:val="Heading3"/>
      </w:pPr>
      <w:r>
        <w:rPr>
          <w:rFonts w:ascii="Times New Roman" w:hAnsi="Times New Roman"/>
        </w:rPr>
        <w:t>B. Prüfung im konkreten Fall</w:t>
      </w:r>
    </w:p>
    <w:p>
      <w:pPr>
        <w:jc w:val="left"/>
      </w:pPr>
      <w:r>
        <w:rPr>
          <w:b/>
        </w:rPr>
        <w:t>Pachtvertrag Ratschke:</w:t>
      </w:r>
      <w:r>
        <w:t xml:space="preserve"> Kein Verbotsgesetz erkennbar, das die Verpachtung eines Ladenlokals verbieten würde. Die Pachthöhe von 9.800 EUR ist für sich genommen keine rechtswidrige Handlung; bloße Teuerung ist keine Verbotsnorm. § 134 BGB (–).</w:t>
      </w:r>
    </w:p>
    <w:p>
      <w:pPr>
        <w:jc w:val="left"/>
      </w:pPr>
      <w:r>
        <w:rPr>
          <w:b/>
        </w:rPr>
        <w:t>Container-Vertrag Lübbers:</w:t>
      </w:r>
      <w:r>
        <w:t xml:space="preserve"> Es könnte § 179a HGB (Zustimmungspflicht des Aufsichtsrats bei Grundlagengeschäften) relevant sein — scheidet hier aus, da Komplementär-GmbH keinen obligatorischen Aufsichtsrat hat. Kein einschlägiges Verbotsgesetz. § 134 BGB (–).</w:t>
      </w:r>
    </w:p>
    <w:p>
      <w:pPr>
        <w:jc w:val="left"/>
      </w:pPr>
      <w:r>
        <w:rPr>
          <w:b/>
        </w:rPr>
        <w:t>Relevanz bei anderen Fallkonstellationen: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Situation</w:t>
            </w:r>
          </w:p>
        </w:tc>
        <w:tc>
          <w:tcPr>
            <w:tcW w:type="dxa" w:w="3024"/>
          </w:tcPr>
          <w:p>
            <w:r>
              <w:rPr>
                <w:rFonts w:ascii="Times New Roman" w:hAnsi="Times New Roman"/>
                <w:b/>
                <w:sz w:val="20"/>
              </w:rPr>
              <w:t>Verbotsgesetz</w:t>
            </w:r>
          </w:p>
        </w:tc>
        <w:tc>
          <w:tcPr>
            <w:tcW w:type="dxa" w:w="3024"/>
          </w:tcPr>
          <w:p>
            <w:r>
              <w:rPr>
                <w:rFonts w:ascii="Times New Roman" w:hAnsi="Times New Roman"/>
                <w:b/>
                <w:sz w:val="20"/>
              </w:rPr>
              <w:t>Ergebnis</w:t>
            </w:r>
          </w:p>
        </w:tc>
      </w:tr>
      <w:tr>
        <w:tc>
          <w:tcPr>
            <w:tcW w:type="dxa" w:w="3024"/>
          </w:tcPr>
          <w:p>
            <w:r>
              <w:rPr>
                <w:rFonts w:ascii="Times New Roman" w:hAnsi="Times New Roman"/>
                <w:sz w:val="20"/>
              </w:rPr>
              <w:t>Vertrag mit nicht zugelassenen Ärzten (GmbH als Praxis)</w:t>
            </w:r>
          </w:p>
        </w:tc>
        <w:tc>
          <w:tcPr>
            <w:tcW w:type="dxa" w:w="3024"/>
          </w:tcPr>
          <w:p>
            <w:r>
              <w:rPr>
                <w:rFonts w:ascii="Times New Roman" w:hAnsi="Times New Roman"/>
                <w:sz w:val="20"/>
              </w:rPr>
              <w:t>§ 1 BÄO, § 95 SGB V</w:t>
            </w:r>
          </w:p>
        </w:tc>
        <w:tc>
          <w:tcPr>
            <w:tcW w:type="dxa" w:w="3024"/>
          </w:tcPr>
          <w:p>
            <w:r>
              <w:rPr>
                <w:rFonts w:ascii="Times New Roman" w:hAnsi="Times New Roman"/>
                <w:sz w:val="20"/>
              </w:rPr>
              <w:t>Nichtigkeit § 134 BGB</w:t>
            </w:r>
          </w:p>
        </w:tc>
      </w:tr>
      <w:tr>
        <w:tc>
          <w:tcPr>
            <w:tcW w:type="dxa" w:w="3024"/>
          </w:tcPr>
          <w:p>
            <w:r>
              <w:rPr>
                <w:rFonts w:ascii="Times New Roman" w:hAnsi="Times New Roman"/>
                <w:sz w:val="20"/>
              </w:rPr>
              <w:t>Bestechungsabrede</w:t>
            </w:r>
          </w:p>
        </w:tc>
        <w:tc>
          <w:tcPr>
            <w:tcW w:type="dxa" w:w="3024"/>
          </w:tcPr>
          <w:p>
            <w:r>
              <w:rPr>
                <w:rFonts w:ascii="Times New Roman" w:hAnsi="Times New Roman"/>
                <w:sz w:val="20"/>
              </w:rPr>
              <w:t>§ 299 StGB, § 335 StGB</w:t>
            </w:r>
          </w:p>
        </w:tc>
        <w:tc>
          <w:tcPr>
            <w:tcW w:type="dxa" w:w="3024"/>
          </w:tcPr>
          <w:p>
            <w:r>
              <w:rPr>
                <w:rFonts w:ascii="Times New Roman" w:hAnsi="Times New Roman"/>
                <w:sz w:val="20"/>
              </w:rPr>
              <w:t>Nichtigkeit § 134 BGB</w:t>
            </w:r>
          </w:p>
        </w:tc>
      </w:tr>
      <w:tr>
        <w:tc>
          <w:tcPr>
            <w:tcW w:type="dxa" w:w="3024"/>
          </w:tcPr>
          <w:p>
            <w:r>
              <w:rPr>
                <w:rFonts w:ascii="Times New Roman" w:hAnsi="Times New Roman"/>
                <w:sz w:val="20"/>
              </w:rPr>
              <w:t>Mietvertrag über nur für Wohnen zugelassene Räume für Gewerbe</w:t>
            </w:r>
          </w:p>
        </w:tc>
        <w:tc>
          <w:tcPr>
            <w:tcW w:type="dxa" w:w="3024"/>
          </w:tcPr>
          <w:p>
            <w:r>
              <w:rPr>
                <w:rFonts w:ascii="Times New Roman" w:hAnsi="Times New Roman"/>
                <w:sz w:val="20"/>
              </w:rPr>
              <w:t>§ 1 BauNVO</w:t>
            </w:r>
          </w:p>
        </w:tc>
        <w:tc>
          <w:tcPr>
            <w:tcW w:type="dxa" w:w="3024"/>
          </w:tcPr>
          <w:p>
            <w:r>
              <w:rPr>
                <w:rFonts w:ascii="Times New Roman" w:hAnsi="Times New Roman"/>
                <w:sz w:val="20"/>
              </w:rPr>
              <w:t>i.d.R. nicht § 134 (öff.-rechtl. Verbot)</w:t>
            </w:r>
          </w:p>
        </w:tc>
      </w:tr>
      <w:tr>
        <w:tc>
          <w:tcPr>
            <w:tcW w:type="dxa" w:w="3024"/>
          </w:tcPr>
          <w:p>
            <w:r>
              <w:rPr>
                <w:rFonts w:ascii="Times New Roman" w:hAnsi="Times New Roman"/>
                <w:sz w:val="20"/>
              </w:rPr>
              <w:t>Schwarzarbeit-Vertrag</w:t>
            </w:r>
          </w:p>
        </w:tc>
        <w:tc>
          <w:tcPr>
            <w:tcW w:type="dxa" w:w="3024"/>
          </w:tcPr>
          <w:p>
            <w:r>
              <w:rPr>
                <w:rFonts w:ascii="Times New Roman" w:hAnsi="Times New Roman"/>
                <w:sz w:val="20"/>
              </w:rPr>
              <w:t>§ 1 SchwArbG</w:t>
            </w:r>
          </w:p>
        </w:tc>
        <w:tc>
          <w:tcPr>
            <w:tcW w:type="dxa" w:w="3024"/>
          </w:tcPr>
          <w:p>
            <w:r>
              <w:rPr>
                <w:rFonts w:ascii="Times New Roman" w:hAnsi="Times New Roman"/>
                <w:sz w:val="20"/>
              </w:rPr>
              <w:t>Nichtigkeit § 134 BGB (BGH NJW 2013, 1969)</w:t>
            </w:r>
          </w:p>
        </w:tc>
      </w:tr>
    </w:tbl>
    <w:p/>
    <w:p>
      <w:pPr>
        <w:pStyle w:val="Heading2"/>
      </w:pPr>
      <w:r>
        <w:rPr>
          <w:rFonts w:ascii="Times New Roman" w:hAnsi="Times New Roman"/>
        </w:rPr>
        <w:t>III. § 138 BGB — Sittenwidrigkeit und Wucher</w:t>
      </w:r>
    </w:p>
    <w:p>
      <w:pPr>
        <w:jc w:val="left"/>
      </w:pPr>
      <w:r>
        <w:rPr>
          <w:b/>
        </w:rPr>
        <w:t>§ 138 Abs. 1 BGB:</w:t>
      </w:r>
      <w:r>
        <w:t xml:space="preserve"> „Ein Rechtsgeschäft, das gegen die guten Sitten verstößt, ist nichtig."</w:t>
      </w:r>
    </w:p>
    <w:p>
      <w:pPr>
        <w:jc w:val="left"/>
      </w:pPr>
      <w:r>
        <w:rPr>
          <w:b/>
        </w:rPr>
        <w:t>§ 138 Abs. 2 BGB (Wucher):</w:t>
      </w:r>
      <w:r>
        <w:t xml:space="preserve"> „Nichtig ist insbesondere ein Rechtsgeschäft, durch das jemand unter Ausbeutung der Zwangslage, der Unerfahrenheit, des Mangels an Urteilsvermögen oder der erheblichen Willensschwäche eines anderen sich oder einem Dritten für eine Leistung Vermögensvorteile versprechen oder gewähren lässt, die in einem auffälligen Missverhältnis zu der Leistung stehen."</w:t>
      </w:r>
    </w:p>
    <w:p>
      <w:pPr>
        <w:pStyle w:val="Heading3"/>
      </w:pPr>
      <w:r>
        <w:rPr>
          <w:rFonts w:ascii="Times New Roman" w:hAnsi="Times New Roman"/>
        </w:rPr>
        <w:t>A. Sittenwidrigkeit § 138 Abs. 1 BGB</w:t>
      </w:r>
    </w:p>
    <w:p>
      <w:pPr>
        <w:jc w:val="left"/>
      </w:pPr>
      <w:r>
        <w:rPr>
          <w:b/>
        </w:rPr>
        <w:t>Generalklausel:</w:t>
      </w:r>
      <w:r>
        <w:t xml:space="preserve"> Ein Geschäft ist sittenwidrig, wenn es dem Anstandsgefühl aller billig und gerecht Denkenden widerspricht (BGH NJW 1994, 187). Maßgebend ist eine Gesamtwürdigung des Inhalts, Zwecks und der Begleitumstände.</w:t>
      </w:r>
    </w:p>
    <w:p>
      <w:pPr>
        <w:jc w:val="left"/>
      </w:pPr>
      <w:r>
        <w:rPr>
          <w:b/>
        </w:rPr>
        <w:t>Subsumtion Pachtvertrag 9.800 EUR:</w:t>
      </w:r>
    </w:p>
    <w:p>
      <w:pPr>
        <w:jc w:val="left"/>
      </w:pPr>
      <w:r>
        <w:t>Pachtzins von 9.800 EUR monatlich für ein Ladenlokal in Leipzig-Connewitz — ist dieser sittenwidrig? Die Prüfung setzt ein grobes Missverhältnis von Leistung und Gegenleistung voraus. Marktübliche Pachten in Connewitz: ca. 18–25 EUR/m² im Monat. Bei angenommener Fläche von 300 m² ergibt sich ein Marktpacht von ca. 5.400–7.500 EUR. Der vereinbarte Preis von 9.800 EUR übersteigt den Marktpreis um ca. 30–80 % — für Wucher ist ein 100 %iges Übersteigen erforderlich (BGH NJW 2002, 429). Sittenwidrigkeit allein wegen Preis (–) unter diesen Umständen.</w:t>
      </w:r>
    </w:p>
    <w:p>
      <w:pPr>
        <w:jc w:val="left"/>
      </w:pPr>
      <w:r>
        <w:rPr>
          <w:b/>
        </w:rPr>
        <w:t>Wuchertatbestand § 138 Abs. 2 BGB:</w:t>
      </w:r>
    </w:p>
    <w:p>
      <w:pPr>
        <w:jc w:val="left"/>
      </w:pPr>
      <w:r>
        <w:t>Für Wucher (§ 138 Abs. 2 BGB) ist zusätzlich zu verlangen:</w:t>
      </w:r>
    </w:p>
    <w:p>
      <w:pPr>
        <w:pStyle w:val="ListNumber"/>
      </w:pPr>
      <w:r>
        <w:t>Auffälliges Missverhältnis Leistung/Gegenleistung (→ mindestens 100 % Überschreitung des Marktpreises nach BGH)</w:t>
      </w:r>
    </w:p>
    <w:p>
      <w:pPr>
        <w:pStyle w:val="ListNumber"/>
      </w:pPr>
      <w:r>
        <w:t>Ausbeutung einer Schwächesituation (Zwangslage, Unerfahrenheit, Willensschwäche)</w:t>
      </w:r>
    </w:p>
    <w:p>
      <w:pPr>
        <w:jc w:val="left"/>
      </w:pPr>
      <w:r>
        <w:rPr>
          <w:b/>
        </w:rPr>
        <w:t>Subsumtion:</w:t>
      </w:r>
      <w:r>
        <w:t xml:space="preserve"> Preis 9.800 EUR übersteigt Marktpreis max. 80 % — </w:t>
      </w:r>
      <w:r>
        <w:rPr>
          <w:b/>
        </w:rPr>
        <w:t>Missverhältnis nicht ausreichend</w:t>
      </w:r>
      <w:r>
        <w:t xml:space="preserve"> für § 138 Abs. 2 BGB. Die Tilidin-Einnahme könnte eine Willensschwäche begründen, die Ratschke ausgenutzt hat — allerdings müsste Ratschke Kenntnis vom Tilidin-Konsum gehabt haben (Ausbeutungsvorsatz). Dies ist nach Aktenlage nicht belegt. § 138 Abs. 2 BGB (–) im konkreten Fall.</w:t>
      </w:r>
    </w:p>
    <w:p>
      <w:pPr>
        <w:jc w:val="left"/>
      </w:pPr>
      <w:r>
        <w:rPr>
          <w:b/>
        </w:rPr>
        <w:t>Wucherähnliches Geschäft (§ 138 Abs. 1 BGB):</w:t>
      </w:r>
    </w:p>
    <w:p>
      <w:pPr>
        <w:jc w:val="left"/>
      </w:pPr>
      <w:r>
        <w:t>Der BGH hat die Figur des „wucherähnlichen Rechtsgeschäfts" (§ 138 Abs. 1 BGB) anerkannt, wenn zwar kein vollständiger Wuchertatbestand vorliegt, aber subjektive und objektive Momente eine Verwerflichkeit begründen (BGH NJW 1994, 1275). Voraussetzung: Kenntnis des auffälligen Missverhältnisses. Auch hier: Preisüberschreitung zu gering; Ratschkes Verwerflichkeit nicht belegt. (–)</w:t>
      </w:r>
    </w:p>
    <w:p/>
    <w:p>
      <w:pPr>
        <w:pStyle w:val="Heading2"/>
      </w:pPr>
      <w:r>
        <w:rPr>
          <w:rFonts w:ascii="Times New Roman" w:hAnsi="Times New Roman"/>
        </w:rPr>
        <w:t>IV. § 134 BGB — Konkurrenzen und Rechtsfolgen</w:t>
      </w:r>
    </w:p>
    <w:p>
      <w:pPr>
        <w:jc w:val="left"/>
      </w:pPr>
      <w:r>
        <w:rPr>
          <w:b/>
        </w:rPr>
        <w:t>Teilnichtigkeit (§ 139 BGB):</w:t>
      </w:r>
      <w:r>
        <w:t xml:space="preserve"> Ist ein Teil eines Rechtsgeschäfts nichtig, so ist das gesamte Rechtsgeschäft nichtig, wenn nicht anzunehmen ist, dass es auch ohne den nichtigen Teil vorgenommen sein würde. Im Vertragsrecht gilt: Zweifelt man an der Trennbarkeit, ist das gesamte Geschäft nichtig.</w:t>
      </w:r>
    </w:p>
    <w:p>
      <w:pPr>
        <w:jc w:val="left"/>
      </w:pPr>
      <w:r>
        <w:rPr>
          <w:b/>
        </w:rPr>
        <w:t>Umdeutung (§ 140 BGB):</w:t>
      </w:r>
      <w:r>
        <w:t xml:space="preserve"> Entspricht ein nichtiges Rechtsgeschäft den Erfordernissen eines anderen Rechtsgeschäfts, so gilt das andere Rechtsgeschäft, wenn anzunehmen ist, dass dessen Geltung bei Kenntnis der Nichtigkeit gewollt sein würde. Relevant z.B. wenn AGB-Klausel nichtig → Gesetzesregel tritt an Stelle (sog. Blue-pencil-Test / Salvatorie-Klausel i.V.m. § 306 BGB).</w:t>
      </w:r>
    </w:p>
    <w:p/>
    <w:p>
      <w:pPr>
        <w:pStyle w:val="Heading2"/>
      </w:pPr>
      <w:r>
        <w:rPr>
          <w:rFonts w:ascii="Times New Roman" w:hAnsi="Times New Roman"/>
        </w:rPr>
        <w:t>V. Klausur-Merkmale § 138 BGB Wucher</w:t>
      </w:r>
    </w:p>
    <w:p>
      <w:pPr>
        <w:jc w:val="left"/>
      </w:pPr>
      <w:r>
        <w:t>```</w:t>
      </w:r>
    </w:p>
    <w:p>
      <w:pPr>
        <w:jc w:val="left"/>
      </w:pPr>
      <w:r>
        <w:t>§ 138 Abs. 2 BGB WUCHER — alle 4 müssen kumulativ vorliegen:</w:t>
      </w:r>
    </w:p>
    <w:p>
      <w:pPr>
        <w:pStyle w:val="ListNumber"/>
      </w:pPr>
      <w:r>
        <w:t>Leistung ↔ Gegenleistung: auffälliges Missverhältnis</w:t>
      </w:r>
    </w:p>
    <w:p>
      <w:pPr>
        <w:jc w:val="left"/>
      </w:pPr>
      <w:r>
        <w:t>(Faustregel BGH: ≥ 100 % Überschreitung Marktpreis)</w:t>
      </w:r>
    </w:p>
    <w:p>
      <w:pPr>
        <w:pStyle w:val="ListNumber"/>
      </w:pPr>
      <w:r>
        <w:t>Schwächesituation des Bewucherten:</w:t>
      </w:r>
    </w:p>
    <w:p>
      <w:pPr>
        <w:pStyle w:val="ListBullet"/>
      </w:pPr>
      <w:r>
        <w:t>Zwangslage ODER</w:t>
      </w:r>
    </w:p>
    <w:p>
      <w:pPr>
        <w:pStyle w:val="ListBullet"/>
      </w:pPr>
      <w:r>
        <w:t>Unerfahrenheit ODER</w:t>
      </w:r>
    </w:p>
    <w:p>
      <w:pPr>
        <w:pStyle w:val="ListBullet"/>
      </w:pPr>
      <w:r>
        <w:t>Mangel an Urteilsvermögen ODER</w:t>
      </w:r>
    </w:p>
    <w:p>
      <w:pPr>
        <w:pStyle w:val="ListBullet"/>
      </w:pPr>
      <w:r>
        <w:t>Erhebliche Willensschwäche</w:t>
      </w:r>
    </w:p>
    <w:p>
      <w:pPr>
        <w:pStyle w:val="ListNumber"/>
      </w:pPr>
      <w:r>
        <w:t>Ausbeutung (subjektiv — Kenntnis der Schwäche)</w:t>
      </w:r>
    </w:p>
    <w:p>
      <w:pPr>
        <w:pStyle w:val="ListNumber"/>
      </w:pPr>
      <w:r>
        <w:t>Kausalität (Ausbeutung → Vertragsschluss)</w:t>
      </w:r>
    </w:p>
    <w:p>
      <w:pPr>
        <w:jc w:val="left"/>
      </w:pPr>
      <w:r>
        <w:t>§ 138 Abs. 1 BGB wucherähnlich (BGH):</w:t>
      </w:r>
    </w:p>
    <w:p>
      <w:pPr>
        <w:pStyle w:val="ListBullet"/>
      </w:pPr>
      <w:r>
        <w:t>Kenntnis des Missverhältnisses reicht aus (geringere subjektive Anforderungen)</w:t>
      </w:r>
    </w:p>
    <w:p>
      <w:pPr>
        <w:pStyle w:val="ListBullet"/>
      </w:pPr>
      <w:r>
        <w:t>Missverhältnis muss besonders auffällig sein (≥ 100 %)</w:t>
      </w:r>
    </w:p>
    <w:p>
      <w:pPr>
        <w:jc w:val="left"/>
      </w:pPr>
      <w:r>
        <w:t>```</w:t>
      </w:r>
    </w:p>
    <w:p>
      <w:pPr>
        <w:jc w:val="left"/>
      </w:pPr>
      <w:r>
        <w:rPr>
          <w:b/>
        </w:rPr>
        <w:t>Quellen:</w:t>
      </w:r>
    </w:p>
    <w:p>
      <w:pPr>
        <w:jc w:val="left"/>
      </w:pPr>
      <w:r>
        <w:t>§§ 134, 138, 139, 140 BGB: https://dejure.org/gesetze/BGB/134.html</w:t>
      </w:r>
    </w:p>
    <w:p>
      <w:pPr>
        <w:jc w:val="left"/>
      </w:pPr>
      <w:r>
        <w:t>BGH NJW 1994, 187 (Generalklausel Sittenwidrigkeit): https://www.bundesgerichtshof.de</w:t>
      </w:r>
    </w:p>
    <w:p>
      <w:pPr>
        <w:jc w:val="left"/>
      </w:pPr>
      <w:r>
        <w:t>BGH NJW 2002, 429 (Wucher, 100 %-Grenze): https://openjur.de</w:t>
      </w:r>
    </w:p>
    <w:p>
      <w:pPr>
        <w:jc w:val="left"/>
      </w:pPr>
      <w:r>
        <w:t>BGH NJW 2013, 1969 (Schwarzarbeit § 134 BGB): https://www.bundesgerichtshof.de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