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Auslegung von Willenserklärungen und Verträgen — §§ 133, 157 BGB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>
      <w:pPr>
        <w:jc w:val="left"/>
      </w:pPr>
      <w:r>
        <w:rPr>
          <w:b/>
        </w:rPr>
        <w:t>Datum:</w:t>
      </w:r>
      <w:r>
        <w:t xml:space="preserve"> 02. Mai 2026</w:t>
      </w:r>
    </w:p>
    <w:p>
      <w:pPr>
        <w:jc w:val="left"/>
      </w:pPr>
      <w:r>
        <w:rPr>
          <w:b/>
        </w:rPr>
        <w:t>Bezug:</w:t>
      </w:r>
      <w:r>
        <w:t xml:space="preserve"> Auslegung des Pachtvertrags Erbenstraße 88; Auslegung der „Büromaterial"-Ermächtigung für Lübbers</w:t>
      </w:r>
    </w:p>
    <w:p/>
    <w:p>
      <w:pPr>
        <w:pStyle w:val="Heading2"/>
      </w:pPr>
      <w:r>
        <w:rPr>
          <w:rFonts w:ascii="Times New Roman" w:hAnsi="Times New Roman"/>
        </w:rPr>
        <w:t>I. Grundlagen der Auslegung</w:t>
      </w:r>
    </w:p>
    <w:p>
      <w:pPr>
        <w:pStyle w:val="Heading3"/>
      </w:pPr>
      <w:r>
        <w:rPr>
          <w:rFonts w:ascii="Times New Roman" w:hAnsi="Times New Roman"/>
        </w:rPr>
        <w:t>§ 133 BGB — Auslegung von Willenserklärungen</w:t>
      </w:r>
    </w:p>
    <w:p>
      <w:pPr>
        <w:jc w:val="left"/>
      </w:pPr>
      <w:r>
        <w:t>„Bei der Auslegung einer Willenserklärung ist der wirkliche Wille zu erforschen und nicht an dem buchstäblichen Sinne des Ausdrucks zu haften."</w:t>
      </w:r>
    </w:p>
    <w:p>
      <w:pPr>
        <w:pStyle w:val="Heading3"/>
      </w:pPr>
      <w:r>
        <w:rPr>
          <w:rFonts w:ascii="Times New Roman" w:hAnsi="Times New Roman"/>
        </w:rPr>
        <w:t>§ 157 BGB — Auslegung von Verträgen</w:t>
      </w:r>
    </w:p>
    <w:p>
      <w:pPr>
        <w:jc w:val="left"/>
      </w:pPr>
      <w:r>
        <w:t>„Verträge sind so auszulegen, wie Treu und Glauben mit Rücksicht auf die Verkehrssitte es erfordern."</w:t>
      </w:r>
    </w:p>
    <w:p/>
    <w:p>
      <w:pPr>
        <w:pStyle w:val="Heading2"/>
      </w:pPr>
      <w:r>
        <w:rPr>
          <w:rFonts w:ascii="Times New Roman" w:hAnsi="Times New Roman"/>
        </w:rPr>
        <w:t>II. Auslegungsmethoden im Überblick</w:t>
      </w:r>
    </w:p>
    <w:p>
      <w:pPr>
        <w:pStyle w:val="Heading3"/>
      </w:pPr>
      <w:r>
        <w:rPr>
          <w:rFonts w:ascii="Times New Roman" w:hAnsi="Times New Roman"/>
        </w:rPr>
        <w:t>A. Natürliche Auslegung (§ 133 BGB)</w:t>
      </w:r>
    </w:p>
    <w:p>
      <w:pPr>
        <w:jc w:val="left"/>
      </w:pPr>
      <w:r>
        <w:t xml:space="preserve">Maßgeblich ist der </w:t>
      </w:r>
      <w:r>
        <w:rPr>
          <w:b/>
        </w:rPr>
        <w:t>wirkliche Wille</w:t>
      </w:r>
      <w:r>
        <w:t xml:space="preserve"> des Erklärenden — jedoch nur soweit der Empfänger diesen Willen erkennen konnte. Die natürliche Auslegung hat Vorrang vor der normativen.</w:t>
      </w:r>
    </w:p>
    <w:p>
      <w:pPr>
        <w:jc w:val="left"/>
      </w:pPr>
      <w:r>
        <w:rPr>
          <w:b/>
        </w:rPr>
        <w:t>Anwendungsbereich:</w:t>
      </w:r>
      <w:r>
        <w:t xml:space="preserve"> Vor allem bei nicht empfangsbedürftigen Willenserklärungen und bei der Auslegung letztwilliger Verfügungen (Testamente, § 2084 BGB).</w:t>
      </w:r>
    </w:p>
    <w:p>
      <w:pPr>
        <w:pStyle w:val="Heading3"/>
      </w:pPr>
      <w:r>
        <w:rPr>
          <w:rFonts w:ascii="Times New Roman" w:hAnsi="Times New Roman"/>
        </w:rPr>
        <w:t>B. Normative Auslegung (§§ 133, 157 BGB)</w:t>
      </w:r>
    </w:p>
    <w:p>
      <w:pPr>
        <w:jc w:val="left"/>
      </w:pPr>
      <w:r>
        <w:t xml:space="preserve">Bei empfangsbedürftigen Willenserklärungen und Verträgen: Maßgeblich ist der objektive </w:t>
      </w:r>
      <w:r>
        <w:rPr>
          <w:b/>
        </w:rPr>
        <w:t>Empfängerhorizont</w:t>
      </w:r>
      <w:r>
        <w:t xml:space="preserve"> — wie ein verständiger, durchschnittlicher Empfänger die Erklärung unter Berücksichtigung aller Umstände verstehen musste (BGH NJW 1991, 2559 — Falsa demonstratio non nocet).</w:t>
      </w:r>
    </w:p>
    <w:p>
      <w:pPr>
        <w:jc w:val="left"/>
      </w:pPr>
      <w:r>
        <w:rPr>
          <w:b/>
        </w:rPr>
        <w:t>Falsa demonstratio non nocet:</w:t>
      </w:r>
      <w:r>
        <w:t xml:space="preserve"> Wenn beide Parteien übereinstimmend dasselbe meinen, gilt das gemeinsam Gemeinte — auch wenn der Wortlaut etwas anderes sagt. Beispiel: Beide meinen mit „Haakjöringsköd" Walfleisch, obwohl der Wortlaut (Norwegisch: Haifischfleisch) anders lautet. Der Vertrag gilt für Walfleisch (RGZ 99, 147 — Haakjöringsköd-Fall).</w:t>
      </w:r>
    </w:p>
    <w:p>
      <w:pPr>
        <w:jc w:val="left"/>
      </w:pPr>
      <w:r>
        <w:rPr>
          <w:b/>
        </w:rPr>
        <w:t>Relevanz für Akte:</w:t>
      </w:r>
      <w:r>
        <w:t xml:space="preserve"> Falls P und Ratschke tatsächlich beide 4.900 EUR vereinbart hatten und Ratschke nur versehentlich 9.800 EUR in den Vertrag eingetragen hat: Falsa demonstratio (→ Vertrag gilt für 4.900 EUR; keine Anfechtung nötig, direkte Vertragserfüllung bei 4.900 EUR).</w:t>
      </w:r>
    </w:p>
    <w:p>
      <w:pPr>
        <w:pStyle w:val="Heading3"/>
      </w:pPr>
      <w:r>
        <w:rPr>
          <w:rFonts w:ascii="Times New Roman" w:hAnsi="Times New Roman"/>
        </w:rPr>
        <w:t>C. Ergänzende Vertragsauslegung</w:t>
      </w:r>
    </w:p>
    <w:p>
      <w:pPr>
        <w:jc w:val="left"/>
      </w:pPr>
      <w:r>
        <w:t>Wenn ein Vertrag eine Lücke enthält (keine Regelung für eine aufgetretene Situation), ist durch ergänzende Auslegung gemäß §§ 133, 157 BGB der hypothetische Parteiwille zu ermitteln: Was hätten vernünftige Parteien vereinbart, wenn sie die Lücke bedacht hätten?</w:t>
      </w:r>
    </w:p>
    <w:p/>
    <w:p>
      <w:pPr>
        <w:pStyle w:val="Heading2"/>
      </w:pPr>
      <w:r>
        <w:rPr>
          <w:rFonts w:ascii="Times New Roman" w:hAnsi="Times New Roman"/>
        </w:rPr>
        <w:t>III. Auslegung im konkreten Fall</w:t>
      </w:r>
    </w:p>
    <w:p>
      <w:pPr>
        <w:pStyle w:val="Heading3"/>
      </w:pPr>
      <w:r>
        <w:rPr>
          <w:rFonts w:ascii="Times New Roman" w:hAnsi="Times New Roman"/>
        </w:rPr>
        <w:t>A. Pachtvertrag — Pachtzins 9.800 oder 4.900 EUR?</w:t>
      </w:r>
    </w:p>
    <w:p>
      <w:pPr>
        <w:jc w:val="left"/>
      </w:pPr>
      <w:r>
        <w:rPr>
          <w:b/>
        </w:rPr>
        <w:t>Sachverhalt:</w:t>
      </w:r>
      <w:r>
        <w:t xml:space="preserve"> Vertrag weist 9.800 EUR aus; P behauptet, 4.900 EUR vereinbart zu haben.</w:t>
      </w:r>
    </w:p>
    <w:p>
      <w:pPr>
        <w:jc w:val="left"/>
      </w:pPr>
      <w:r>
        <w:rPr>
          <w:b/>
        </w:rPr>
        <w:t>Auslegungsschritte:</w:t>
      </w:r>
    </w:p>
    <w:p>
      <w:pPr>
        <w:pStyle w:val="ListNumber"/>
      </w:pPr>
      <w:r>
        <w:rPr>
          <w:b/>
        </w:rPr>
        <w:t>Wortlaut:</w:t>
      </w:r>
      <w:r>
        <w:t xml:space="preserve"> Klarer Wortlaut: 9.800 EUR/Monat. Keine Ambiguität im Text.</w:t>
      </w:r>
    </w:p>
    <w:p>
      <w:pPr>
        <w:pStyle w:val="ListNumber"/>
      </w:pPr>
      <w:r>
        <w:rPr>
          <w:b/>
        </w:rPr>
        <w:t>Umstände des Vertragsschlusses (§§ 133, 157 BGB):</w:t>
      </w:r>
      <w:r>
        <w:t xml:space="preserve"> Vorverhandlungen, E-Mails der Parteien, sonstige Indizien. Liegt schriftliche Verhandlungskorrespondenz mit der Zahl 4.900 vor?</w:t>
      </w:r>
    </w:p>
    <w:p>
      <w:pPr>
        <w:jc w:val="left"/>
      </w:pPr>
      <w:r>
        <w:t>Aktenlage: P legt zwei E-Mails vom 20.01.2026 und 28.01.2026 vor, in denen Ratschke die Rede von „4.900 EUR zzgl. Betriebskosten" führt. Ratschke bestreitet, diese E-Mails geschrieben zu haben.</w:t>
      </w:r>
    </w:p>
    <w:p>
      <w:pPr>
        <w:pStyle w:val="ListNumber"/>
      </w:pPr>
      <w:r>
        <w:rPr>
          <w:b/>
        </w:rPr>
        <w:t>Falsa demonstratio:</w:t>
      </w:r>
      <w:r>
        <w:t xml:space="preserve"> Wenn P nachweisen kann, dass beide Parteien in den Verhandlungen übereinstimmend 4.900 EUR meinten, gilt diese Summe — unabhängig vom Vertragstext. Die Beweisführung für die Falsa demonstratio liegt bei P.</w:t>
      </w:r>
    </w:p>
    <w:p>
      <w:pPr>
        <w:pStyle w:val="ListNumber"/>
      </w:pPr>
      <w:r>
        <w:rPr>
          <w:b/>
        </w:rPr>
        <w:t>Auslegungsergebnis ohne Falsa demonstratio:</w:t>
      </w:r>
      <w:r>
        <w:t xml:space="preserve"> Wortlaut (9.800 EUR) ist maßgeblich; P muss anfechten.</w:t>
      </w:r>
    </w:p>
    <w:p>
      <w:pPr>
        <w:jc w:val="left"/>
      </w:pPr>
      <w:r>
        <w:rPr>
          <w:b/>
        </w:rPr>
        <w:t>Prozesstaktik:</w:t>
      </w:r>
      <w:r>
        <w:t xml:space="preserve"> E-Mail-Beweis für 4.900 EUR als Primärstrategie (Falsa demonstratio / kein wirksamer Vertragsschluss über 9.800 EUR). Subsidiär: Anfechtung §§ 119, 121 BGB.</w:t>
      </w:r>
    </w:p>
    <w:p>
      <w:pPr>
        <w:pStyle w:val="Heading3"/>
      </w:pPr>
      <w:r>
        <w:rPr>
          <w:rFonts w:ascii="Times New Roman" w:hAnsi="Times New Roman"/>
        </w:rPr>
        <w:t>B. Vollmacht Lübbers — „Büromaterial beschaffen"</w:t>
      </w:r>
    </w:p>
    <w:p>
      <w:pPr>
        <w:jc w:val="left"/>
      </w:pPr>
      <w:r>
        <w:rPr>
          <w:b/>
        </w:rPr>
        <w:t>Sachverhalt:</w:t>
      </w:r>
      <w:r>
        <w:t xml:space="preserve"> P hat Lübbers mündlich ermächtigt, „Büromaterial zu beschaffen". Lübbers interpretiert dies als Berechtigung für den Kauf von zwei Bürocontainern (22.000 EUR).</w:t>
      </w:r>
    </w:p>
    <w:p>
      <w:pPr>
        <w:jc w:val="left"/>
      </w:pPr>
      <w:r>
        <w:rPr>
          <w:b/>
        </w:rPr>
        <w:t>Auslegung der Vollmachtserklärung:</w:t>
      </w:r>
    </w:p>
    <w:p>
      <w:pPr>
        <w:pStyle w:val="ListBullet"/>
      </w:pPr>
      <w:r>
        <w:rPr>
          <w:b/>
        </w:rPr>
        <w:t>Wortlaut:</w:t>
      </w:r>
      <w:r>
        <w:t xml:space="preserve"> „Büromaterial" = Papier, Stifte, Ordner, Drucker etc. — eindeutig kein Bürocontainer.</w:t>
      </w:r>
    </w:p>
    <w:p>
      <w:pPr>
        <w:pStyle w:val="ListBullet"/>
      </w:pPr>
      <w:r>
        <w:rPr>
          <w:b/>
        </w:rPr>
        <w:t>Empfängerhorizont Lübbers:</w:t>
      </w:r>
      <w:r>
        <w:t xml:space="preserve"> Als Auszubildender im 1. Lehrjahr musste er nach dem Empfängerhorizont verstehen, dass eine Ermächtigung zur Beschaffung von Büromaterial keine Großinvestition über 22.000 EUR umfasst.</w:t>
      </w:r>
    </w:p>
    <w:p>
      <w:pPr>
        <w:pStyle w:val="ListBullet"/>
      </w:pPr>
      <w:r>
        <w:rPr>
          <w:b/>
        </w:rPr>
        <w:t>Verkehrssitte (§ 157 BGB):</w:t>
      </w:r>
      <w:r>
        <w:t xml:space="preserve"> Im Geschäftsverkehr werden derartige Großanschaffungen mit ausdrücklicher, schriftlicher Vollmacht vorgenommen.</w:t>
      </w:r>
    </w:p>
    <w:p>
      <w:pPr>
        <w:pStyle w:val="ListBullet"/>
      </w:pPr>
      <w:r>
        <w:rPr>
          <w:b/>
        </w:rPr>
        <w:t>Ergebnis:</w:t>
      </w:r>
      <w:r>
        <w:t xml:space="preserve"> Vollmachtsumfang umfasst keine Bürocontainer — </w:t>
      </w:r>
      <w:r>
        <w:rPr>
          <w:b/>
        </w:rPr>
        <w:t>enge Auslegung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IV. AGB-Auslegung — Besonderheiten § 305c Abs. 2 BGB</w:t>
      </w:r>
    </w:p>
    <w:p>
      <w:pPr>
        <w:jc w:val="left"/>
      </w:pPr>
      <w:r>
        <w:rPr>
          <w:b/>
        </w:rPr>
        <w:t>§ 305c Abs. 2 BGB:</w:t>
      </w:r>
      <w:r>
        <w:t xml:space="preserve"> „Zweifel bei der Auslegung Allgemeiner Geschäftsbedingungen gehen zu Lasten des Verwenders."</w:t>
      </w:r>
    </w:p>
    <w:p>
      <w:pPr>
        <w:jc w:val="left"/>
      </w:pPr>
      <w:r>
        <w:t xml:space="preserve">Dies ist eine </w:t>
      </w:r>
      <w:r>
        <w:rPr>
          <w:b/>
        </w:rPr>
        <w:t>Auslegungsregel</w:t>
      </w:r>
      <w:r>
        <w:t xml:space="preserve"> zugunsten des Vertragspartners (Kundenregel / Unklarheitenregel). Sie gilt für AGB-Klauseln, nicht für Individualvereinbarungen.</w:t>
      </w:r>
    </w:p>
    <w:p>
      <w:pPr>
        <w:jc w:val="left"/>
      </w:pPr>
      <w:r>
        <w:rPr>
          <w:b/>
        </w:rPr>
        <w:t>Im Fall Convotherm-AGB:</w:t>
      </w:r>
      <w:r>
        <w:t xml:space="preserve"> Wenn die Eigentumsvorbehaltsklausel in § 9 AGB unklar ist (z.B. ob der verlängerte EV auch nachträgliche Forderungen umfasst), geht diese Unklarheit zu Lasten von Convotherm als Verwender.</w:t>
      </w:r>
    </w:p>
    <w:p/>
    <w:p>
      <w:pPr>
        <w:pStyle w:val="Heading2"/>
      </w:pPr>
      <w:r>
        <w:rPr>
          <w:rFonts w:ascii="Times New Roman" w:hAnsi="Times New Roman"/>
        </w:rPr>
        <w:t>V. Auslegungsreihenfolge in der Klausur</w:t>
      </w:r>
    </w:p>
    <w:p>
      <w:pPr>
        <w:jc w:val="left"/>
      </w:pPr>
      <w:r>
        <w:t>```</w:t>
      </w:r>
    </w:p>
    <w:p>
      <w:pPr>
        <w:jc w:val="left"/>
      </w:pPr>
      <w:r>
        <w:t>Schritt 1: Wortlaut</w:t>
      </w:r>
    </w:p>
    <w:p>
      <w:pPr>
        <w:jc w:val="left"/>
      </w:pPr>
      <w:r>
        <w:t>→ Natürliche Wortbedeutung (Alltagssprache)</w:t>
      </w:r>
    </w:p>
    <w:p>
      <w:pPr>
        <w:jc w:val="left"/>
      </w:pPr>
      <w:r>
        <w:t>→ Fachsprachliche Bedeutung (falls branchenüblich)</w:t>
      </w:r>
    </w:p>
    <w:p>
      <w:pPr>
        <w:jc w:val="left"/>
      </w:pPr>
      <w:r>
        <w:t>Schritt 2: Umstände des Vertragsschlusses</w:t>
      </w:r>
    </w:p>
    <w:p>
      <w:pPr>
        <w:jc w:val="left"/>
      </w:pPr>
      <w:r>
        <w:t>→ Vorverhandlungen, Schriftwechsel, Verhalten der Parteien</w:t>
      </w:r>
    </w:p>
    <w:p>
      <w:pPr>
        <w:jc w:val="left"/>
      </w:pPr>
      <w:r>
        <w:t>→ Branchenusancen und Handelsbrauch (§ 346 HGB)</w:t>
      </w:r>
    </w:p>
    <w:p>
      <w:pPr>
        <w:jc w:val="left"/>
      </w:pPr>
      <w:r>
        <w:t>Schritt 3: Gesamtkontext des Vertrags</w:t>
      </w:r>
    </w:p>
    <w:p>
      <w:pPr>
        <w:jc w:val="left"/>
      </w:pPr>
      <w:r>
        <w:t>→ Systematische Auslegung: Was ergeben andere Klauseln?</w:t>
      </w:r>
    </w:p>
    <w:p>
      <w:pPr>
        <w:jc w:val="left"/>
      </w:pPr>
      <w:r>
        <w:t>Schritt 4: Zweck des Rechtsgeschäfts</w:t>
      </w:r>
    </w:p>
    <w:p>
      <w:pPr>
        <w:jc w:val="left"/>
      </w:pPr>
      <w:r>
        <w:t>→ Teleologische Auslegung: Was wollten die Parteien erreichen?</w:t>
      </w:r>
    </w:p>
    <w:p>
      <w:pPr>
        <w:jc w:val="left"/>
      </w:pPr>
      <w:r>
        <w:t>Schritt 5: Falsa demonstratio (§§ 133, 157 BGB)</w:t>
      </w:r>
    </w:p>
    <w:p>
      <w:pPr>
        <w:jc w:val="left"/>
      </w:pPr>
      <w:r>
        <w:t>→ Übereinstimmender Wille beider Parteien schlägt Wortlaut</w:t>
      </w:r>
    </w:p>
    <w:p>
      <w:pPr>
        <w:jc w:val="left"/>
      </w:pPr>
      <w:r>
        <w:t>Schritt 6: Ergänzende Auslegung (Lückenausfüllung)</w:t>
      </w:r>
    </w:p>
    <w:p>
      <w:pPr>
        <w:jc w:val="left"/>
      </w:pPr>
      <w:r>
        <w:t>→ Hypothetischer Parteiwille bei planwidriger Unvollständigkeit</w:t>
      </w:r>
    </w:p>
    <w:p>
      <w:pPr>
        <w:jc w:val="left"/>
      </w:pPr>
      <w:r>
        <w:t>[AGB: zusätzlich § 305c Abs. 2 BGB — Zweifel gegen Verwender]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Quellen:</w:t>
      </w:r>
    </w:p>
    <w:p>
      <w:pPr>
        <w:jc w:val="left"/>
      </w:pPr>
      <w:r>
        <w:t>§§ 133, 157 BGB: https://dejure.org/gesetze/BGB/133.html</w:t>
      </w:r>
    </w:p>
    <w:p>
      <w:pPr>
        <w:jc w:val="left"/>
      </w:pPr>
      <w:r>
        <w:t>§ 305c Abs. 2 BGB: https://dejure.org/gesetze/BGB/305c.html</w:t>
      </w:r>
    </w:p>
    <w:p>
      <w:pPr>
        <w:jc w:val="left"/>
      </w:pPr>
      <w:r>
        <w:t>BGH NJW 1991, 2559 (normativer Empfängerhorizont): https://www.bundesgerichtshof.de</w:t>
      </w:r>
    </w:p>
    <w:p>
      <w:pPr>
        <w:jc w:val="left"/>
      </w:pPr>
      <w:r>
        <w:t>RGZ 99, 147 (Haakjöringsköd — Falsa demonstratio): historische Leitentscheidung</w:t>
      </w:r>
    </w:p>
    <w:p>
      <w:pPr>
        <w:jc w:val="left"/>
      </w:pPr>
      <w:r>
        <w:t>BGH NJW 2008, 2825 (AGB-Auslegung, Unklarheitenregel): https://openjur.de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