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Vertragsschluss — Antrag und Annahme (§§ 145–147 BGB) im Fall Pohlmann</w:t>
      </w:r>
    </w:p>
    <w:p>
      <w:pPr>
        <w:jc w:val="left"/>
      </w:pPr>
      <w:r>
        <w:rPr>
          <w:b/>
        </w:rPr>
        <w:t>Bearbeiter:</w:t>
      </w:r>
      <w:r>
        <w:t xml:space="preserve"> RA Dr. Heinrich Schweizer-Loberg</w:t>
      </w:r>
    </w:p>
    <w:p>
      <w:pPr>
        <w:jc w:val="left"/>
      </w:pPr>
      <w:r>
        <w:rPr>
          <w:b/>
        </w:rPr>
        <w:t>Datum:</w:t>
      </w:r>
      <w:r>
        <w:t xml:space="preserve"> 14. Mai 2026</w:t>
      </w:r>
    </w:p>
    <w:p>
      <w:pPr>
        <w:jc w:val="left"/>
      </w:pPr>
      <w:r>
        <w:rPr>
          <w:b/>
        </w:rPr>
        <w:t>Bezug:</w:t>
      </w:r>
      <w:r>
        <w:t xml:space="preserve"> Zustandekommen des Pachtvertrags 03.02.2026; Containerbestellung Lübbers; Klausurgrundlagen</w:t>
      </w:r>
    </w:p>
    <w:p/>
    <w:p>
      <w:pPr>
        <w:pStyle w:val="Heading2"/>
      </w:pPr>
      <w:r>
        <w:rPr>
          <w:rFonts w:ascii="Times New Roman" w:hAnsi="Times New Roman"/>
        </w:rPr>
        <w:t>I. Grundlagen Vertragsschluss §§ 145–147 BGB</w:t>
      </w:r>
    </w:p>
    <w:p>
      <w:pPr>
        <w:jc w:val="left"/>
      </w:pPr>
      <w:r>
        <w:t xml:space="preserve">Ein Vertrag kommt durch zwei übereinstimmende Willenserklärungen zustande: </w:t>
      </w:r>
      <w:r>
        <w:rPr>
          <w:b/>
        </w:rPr>
        <w:t>Antrag</w:t>
      </w:r>
      <w:r>
        <w:t xml:space="preserve"> (Angebot, Offerte) und </w:t>
      </w:r>
      <w:r>
        <w:rPr>
          <w:b/>
        </w:rPr>
        <w:t>Annahme</w:t>
      </w:r>
      <w:r>
        <w:t xml:space="preserve"> (Akzept). Beide Erklärungen müssen inhaltlich kongruent (deckungsgleich) sein und rechtzeitig zugehen.</w:t>
      </w:r>
    </w:p>
    <w:p>
      <w:pPr>
        <w:pStyle w:val="Heading3"/>
      </w:pPr>
      <w:r>
        <w:rPr>
          <w:rFonts w:ascii="Times New Roman" w:hAnsi="Times New Roman"/>
        </w:rPr>
        <w:t>§ 145 BGB — Bindung an den Antrag</w:t>
      </w:r>
    </w:p>
    <w:p>
      <w:pPr>
        <w:jc w:val="left"/>
      </w:pPr>
      <w:r>
        <w:t>„Wer einem anderen die Schließung eines Vertrages anträgt, ist an den Antrag gebunden, sofern er nicht die Ausschließung der Bindung erklärt hat."</w:t>
      </w:r>
    </w:p>
    <w:p>
      <w:pPr>
        <w:pStyle w:val="Heading3"/>
      </w:pPr>
      <w:r>
        <w:rPr>
          <w:rFonts w:ascii="Times New Roman" w:hAnsi="Times New Roman"/>
        </w:rPr>
        <w:t>§ 146 BGB — Erlöschen des Antrags</w:t>
      </w:r>
    </w:p>
    <w:p>
      <w:pPr>
        <w:jc w:val="left"/>
      </w:pPr>
      <w:r>
        <w:t>Der Antrag erlischt, wenn er dem Antragenden gegenüber abgelehnt wird oder nicht rechtzeitig angenommen wird (§§ 147–149 BGB).</w:t>
      </w:r>
    </w:p>
    <w:p>
      <w:pPr>
        <w:pStyle w:val="Heading3"/>
      </w:pPr>
      <w:r>
        <w:rPr>
          <w:rFonts w:ascii="Times New Roman" w:hAnsi="Times New Roman"/>
        </w:rPr>
        <w:t>§ 147 BGB — Annahmefrist</w:t>
      </w:r>
    </w:p>
    <w:p>
      <w:pPr>
        <w:jc w:val="left"/>
      </w:pPr>
      <w:r>
        <w:t>„(1) Der einem Anwesenden gemachte Antrag kann nur sofort angenommen werden. [...] (2) Der einem Abwesenden gemachte Antrag kann nur bis zu dem Zeitpunkt angenommen werden, in welchem der Antragende den Eingang der Antwort unter regelmäßigen Umständen erwarten darf."</w:t>
      </w:r>
    </w:p>
    <w:p>
      <w:pPr>
        <w:pStyle w:val="Heading3"/>
      </w:pPr>
      <w:r>
        <w:rPr>
          <w:rFonts w:ascii="Times New Roman" w:hAnsi="Times New Roman"/>
        </w:rPr>
        <w:t>§ 150 BGB — Verspätete und modifizierte Annahme</w:t>
      </w:r>
    </w:p>
    <w:p>
      <w:pPr>
        <w:jc w:val="left"/>
      </w:pPr>
      <w:r>
        <w:t>„(1) Die verspätete Annahme eines Antrages gilt als neuer Antrag.</w:t>
      </w:r>
    </w:p>
    <w:p>
      <w:pPr>
        <w:jc w:val="left"/>
      </w:pPr>
      <w:r>
        <w:t>(2) Eine Annahme unter Erweiterungen, Einschränkungen oder sonstigen Änderungen gilt als Ablehnung verbunden mit einem neuen Antrag."</w:t>
      </w:r>
    </w:p>
    <w:p/>
    <w:p>
      <w:pPr>
        <w:pStyle w:val="Heading2"/>
      </w:pPr>
      <w:r>
        <w:rPr>
          <w:rFonts w:ascii="Times New Roman" w:hAnsi="Times New Roman"/>
        </w:rPr>
        <w:t>II. Anwendung auf Pachtvertrag Erbenstraße 88</w:t>
      </w:r>
    </w:p>
    <w:p>
      <w:pPr>
        <w:pStyle w:val="Heading3"/>
      </w:pPr>
      <w:r>
        <w:rPr>
          <w:rFonts w:ascii="Times New Roman" w:hAnsi="Times New Roman"/>
        </w:rPr>
        <w:t>A. Chronologie des Vertragsschlusses</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Ereignis</w:t>
            </w:r>
          </w:p>
        </w:tc>
        <w:tc>
          <w:tcPr>
            <w:tcW w:type="dxa" w:w="3024"/>
          </w:tcPr>
          <w:p>
            <w:r>
              <w:rPr>
                <w:rFonts w:ascii="Times New Roman" w:hAnsi="Times New Roman"/>
                <w:b/>
                <w:sz w:val="20"/>
              </w:rPr>
              <w:t>Rechtliche Qualifikation</w:t>
            </w:r>
          </w:p>
        </w:tc>
      </w:tr>
      <w:tr>
        <w:tc>
          <w:tcPr>
            <w:tcW w:type="dxa" w:w="3024"/>
          </w:tcPr>
          <w:p>
            <w:r>
              <w:rPr>
                <w:rFonts w:ascii="Times New Roman" w:hAnsi="Times New Roman"/>
                <w:sz w:val="20"/>
              </w:rPr>
              <w:t>20.01.2026</w:t>
            </w:r>
          </w:p>
        </w:tc>
        <w:tc>
          <w:tcPr>
            <w:tcW w:type="dxa" w:w="3024"/>
          </w:tcPr>
          <w:p>
            <w:r>
              <w:rPr>
                <w:rFonts w:ascii="Times New Roman" w:hAnsi="Times New Roman"/>
                <w:sz w:val="20"/>
              </w:rPr>
              <w:t>Ratschke sendet Entwurf des Pachtvertrags per E-Mail an P</w:t>
            </w:r>
          </w:p>
        </w:tc>
        <w:tc>
          <w:tcPr>
            <w:tcW w:type="dxa" w:w="3024"/>
          </w:tcPr>
          <w:p>
            <w:r>
              <w:rPr>
                <w:rFonts w:ascii="Times New Roman" w:hAnsi="Times New Roman"/>
                <w:sz w:val="20"/>
              </w:rPr>
              <w:t>Antrag § 145 BGB (mit Annahmefrist nach § 147 Abs. 2 BGB)</w:t>
            </w:r>
          </w:p>
        </w:tc>
      </w:tr>
      <w:tr>
        <w:tc>
          <w:tcPr>
            <w:tcW w:type="dxa" w:w="3024"/>
          </w:tcPr>
          <w:p>
            <w:r>
              <w:rPr>
                <w:rFonts w:ascii="Times New Roman" w:hAnsi="Times New Roman"/>
                <w:sz w:val="20"/>
              </w:rPr>
              <w:t>28.01.2026</w:t>
            </w:r>
          </w:p>
        </w:tc>
        <w:tc>
          <w:tcPr>
            <w:tcW w:type="dxa" w:w="3024"/>
          </w:tcPr>
          <w:p>
            <w:r>
              <w:rPr>
                <w:rFonts w:ascii="Times New Roman" w:hAnsi="Times New Roman"/>
                <w:sz w:val="20"/>
              </w:rPr>
              <w:t>P sendet Gegenentwurf mit geänderten Konditionen zurück</w:t>
            </w:r>
          </w:p>
        </w:tc>
        <w:tc>
          <w:tcPr>
            <w:tcW w:type="dxa" w:w="3024"/>
          </w:tcPr>
          <w:p>
            <w:r>
              <w:rPr>
                <w:rFonts w:ascii="Times New Roman" w:hAnsi="Times New Roman"/>
                <w:sz w:val="20"/>
              </w:rPr>
              <w:t>§ 150 Abs. 2 BGB: Ablehnung + neuer Antrag von P</w:t>
            </w:r>
          </w:p>
        </w:tc>
      </w:tr>
      <w:tr>
        <w:tc>
          <w:tcPr>
            <w:tcW w:type="dxa" w:w="3024"/>
          </w:tcPr>
          <w:p>
            <w:r>
              <w:rPr>
                <w:rFonts w:ascii="Times New Roman" w:hAnsi="Times New Roman"/>
                <w:sz w:val="20"/>
              </w:rPr>
              <w:t>01.02.2026</w:t>
            </w:r>
          </w:p>
        </w:tc>
        <w:tc>
          <w:tcPr>
            <w:tcW w:type="dxa" w:w="3024"/>
          </w:tcPr>
          <w:p>
            <w:r>
              <w:rPr>
                <w:rFonts w:ascii="Times New Roman" w:hAnsi="Times New Roman"/>
                <w:sz w:val="20"/>
              </w:rPr>
              <w:t>Ratschke bestätigt mündlich telefonisch, er nehme P's Angebot an</w:t>
            </w:r>
          </w:p>
        </w:tc>
        <w:tc>
          <w:tcPr>
            <w:tcW w:type="dxa" w:w="3024"/>
          </w:tcPr>
          <w:p>
            <w:r>
              <w:rPr>
                <w:rFonts w:ascii="Times New Roman" w:hAnsi="Times New Roman"/>
                <w:sz w:val="20"/>
              </w:rPr>
              <w:t>Annahme des P-Antrags? Vorbehalt Schriftform?</w:t>
            </w:r>
          </w:p>
        </w:tc>
      </w:tr>
      <w:tr>
        <w:tc>
          <w:tcPr>
            <w:tcW w:type="dxa" w:w="3024"/>
          </w:tcPr>
          <w:p>
            <w:r>
              <w:rPr>
                <w:rFonts w:ascii="Times New Roman" w:hAnsi="Times New Roman"/>
                <w:sz w:val="20"/>
              </w:rPr>
              <w:t>03.02.2026</w:t>
            </w:r>
          </w:p>
        </w:tc>
        <w:tc>
          <w:tcPr>
            <w:tcW w:type="dxa" w:w="3024"/>
          </w:tcPr>
          <w:p>
            <w:r>
              <w:rPr>
                <w:rFonts w:ascii="Times New Roman" w:hAnsi="Times New Roman"/>
                <w:sz w:val="20"/>
              </w:rPr>
              <w:t>Unterzeichnung des schriftlichen Vertrags (9.800 EUR)</w:t>
            </w:r>
          </w:p>
        </w:tc>
        <w:tc>
          <w:tcPr>
            <w:tcW w:type="dxa" w:w="3024"/>
          </w:tcPr>
          <w:p>
            <w:r>
              <w:rPr>
                <w:rFonts w:ascii="Times New Roman" w:hAnsi="Times New Roman"/>
                <w:sz w:val="20"/>
              </w:rPr>
              <w:t>Antrag (Ratschke-Version) oder Annahme (P unterschreibt)?</w:t>
            </w:r>
          </w:p>
        </w:tc>
      </w:tr>
    </w:tbl>
    <w:p>
      <w:pPr>
        <w:pStyle w:val="Heading3"/>
      </w:pPr>
      <w:r>
        <w:rPr>
          <w:rFonts w:ascii="Times New Roman" w:hAnsi="Times New Roman"/>
        </w:rPr>
        <w:t>B. Streitpunkt: Schriftformvorbehalt</w:t>
      </w:r>
    </w:p>
    <w:p>
      <w:pPr>
        <w:jc w:val="left"/>
      </w:pPr>
      <w:r>
        <w:t>Wenn die Parteien im Vorfeld mündlich über 4.900 EUR einig waren, aber das schriftliche Dokument 9.800 EUR ausweist, kommt es auf den Schriftformvorbehalt an:</w:t>
      </w:r>
    </w:p>
    <w:p>
      <w:pPr>
        <w:jc w:val="left"/>
      </w:pPr>
      <w:r>
        <w:rPr>
          <w:b/>
        </w:rPr>
        <w:t>§ 154 Abs. 2 BGB:</w:t>
      </w:r>
      <w:r>
        <w:t xml:space="preserve"> „Wenn die Beurkundung des beabsichtigten Vertrags verabredet worden ist, so ist im Zweifel der Vertrag nicht geschlossen, bis die Beurkundung erfolgt ist." Wenn also keine ausdrückliche Einigung über 4.900 EUR in Schriftform vorliegt, gilt der erst mit Unterzeichnung geschlossene Vertrag (mit 9.800 EUR).</w:t>
      </w:r>
    </w:p>
    <w:p>
      <w:pPr>
        <w:jc w:val="left"/>
      </w:pPr>
      <w:r>
        <w:rPr>
          <w:b/>
        </w:rPr>
        <w:t>§ 154 Abs. 1 BGB:</w:t>
      </w:r>
      <w:r>
        <w:t xml:space="preserve"> „Solange nicht die Parteien sich über alle Punkte eines Vertrags geeinigt haben, über die nach der Erklärung auch nur einer Partei eine Vereinbarung getroffen werden soll, ist im Zweifel der Vertrag nicht geschlossen."</w:t>
      </w:r>
    </w:p>
    <w:p>
      <w:pPr>
        <w:jc w:val="left"/>
      </w:pPr>
      <w:r>
        <w:t>Wenn Ratschke schon bei Telefonat 01.02.2026 „angenommen" hat, war ein mündlicher Pachtvertrag über 4.900 EUR geschlossen — die Unterzeichnung am 03.02.2026 wäre dann eine Änderung (§ 150 Abs. 2 BGB: neuer Antrag Ratschke über 9.800 EUR, nicht angenommen von P).</w:t>
      </w:r>
    </w:p>
    <w:p>
      <w:pPr>
        <w:jc w:val="left"/>
      </w:pPr>
      <w:r>
        <w:rPr>
          <w:b/>
        </w:rPr>
        <w:t>Prozesstaktik:</w:t>
      </w:r>
      <w:r>
        <w:t xml:space="preserve"> Argument der Falsa demonstratio und des Schriftformvorbehalts kombinieren — P hätte dem 9.800-EUR-Antrag nie zugestimmt.</w:t>
      </w:r>
    </w:p>
    <w:p/>
    <w:p>
      <w:pPr>
        <w:pStyle w:val="Heading2"/>
      </w:pPr>
      <w:r>
        <w:rPr>
          <w:rFonts w:ascii="Times New Roman" w:hAnsi="Times New Roman"/>
        </w:rPr>
        <w:t>III. Vertragsschluss Container-Bestellung Lübbers</w:t>
      </w:r>
    </w:p>
    <w:p>
      <w:pPr>
        <w:pStyle w:val="Heading3"/>
      </w:pPr>
      <w:r>
        <w:rPr>
          <w:rFonts w:ascii="Times New Roman" w:hAnsi="Times New Roman"/>
        </w:rPr>
        <w:t>A. Chronologie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Ereignis</w:t>
            </w:r>
          </w:p>
        </w:tc>
        <w:tc>
          <w:tcPr>
            <w:tcW w:type="dxa" w:w="3024"/>
          </w:tcPr>
          <w:p>
            <w:r>
              <w:rPr>
                <w:rFonts w:ascii="Times New Roman" w:hAnsi="Times New Roman"/>
                <w:b/>
                <w:sz w:val="20"/>
              </w:rPr>
              <w:t>Rechtliche Qualifikation</w:t>
            </w:r>
          </w:p>
        </w:tc>
      </w:tr>
      <w:tr>
        <w:tc>
          <w:tcPr>
            <w:tcW w:type="dxa" w:w="3024"/>
          </w:tcPr>
          <w:p>
            <w:r>
              <w:rPr>
                <w:rFonts w:ascii="Times New Roman" w:hAnsi="Times New Roman"/>
                <w:sz w:val="20"/>
              </w:rPr>
              <w:t>25.01.2026</w:t>
            </w:r>
          </w:p>
        </w:tc>
        <w:tc>
          <w:tcPr>
            <w:tcW w:type="dxa" w:w="3024"/>
          </w:tcPr>
          <w:p>
            <w:r>
              <w:rPr>
                <w:rFonts w:ascii="Times New Roman" w:hAnsi="Times New Roman"/>
                <w:sz w:val="20"/>
              </w:rPr>
              <w:t>Lübbers ruft bei Meißen GmbH an: Anfrage zwei Bürocontainer</w:t>
            </w:r>
          </w:p>
        </w:tc>
        <w:tc>
          <w:tcPr>
            <w:tcW w:type="dxa" w:w="3024"/>
          </w:tcPr>
          <w:p>
            <w:r>
              <w:rPr>
                <w:rFonts w:ascii="Times New Roman" w:hAnsi="Times New Roman"/>
                <w:sz w:val="20"/>
              </w:rPr>
              <w:t>Invitatio ad offerendum? Oder Antrag?</w:t>
            </w:r>
          </w:p>
        </w:tc>
      </w:tr>
      <w:tr>
        <w:tc>
          <w:tcPr>
            <w:tcW w:type="dxa" w:w="3024"/>
          </w:tcPr>
          <w:p>
            <w:r>
              <w:rPr>
                <w:rFonts w:ascii="Times New Roman" w:hAnsi="Times New Roman"/>
                <w:sz w:val="20"/>
              </w:rPr>
              <w:t>28.01.2026</w:t>
            </w:r>
          </w:p>
        </w:tc>
        <w:tc>
          <w:tcPr>
            <w:tcW w:type="dxa" w:w="3024"/>
          </w:tcPr>
          <w:p>
            <w:r>
              <w:rPr>
                <w:rFonts w:ascii="Times New Roman" w:hAnsi="Times New Roman"/>
                <w:sz w:val="20"/>
              </w:rPr>
              <w:t>Meißen GmbH sendet schriftliches Angebot: 22.000 EUR inkl. Lieferung</w:t>
            </w:r>
          </w:p>
        </w:tc>
        <w:tc>
          <w:tcPr>
            <w:tcW w:type="dxa" w:w="3024"/>
          </w:tcPr>
          <w:p>
            <w:r>
              <w:rPr>
                <w:rFonts w:ascii="Times New Roman" w:hAnsi="Times New Roman"/>
                <w:sz w:val="20"/>
              </w:rPr>
              <w:t>Antrag i.S.d. § 145 BGB</w:t>
            </w:r>
          </w:p>
        </w:tc>
      </w:tr>
      <w:tr>
        <w:tc>
          <w:tcPr>
            <w:tcW w:type="dxa" w:w="3024"/>
          </w:tcPr>
          <w:p>
            <w:r>
              <w:rPr>
                <w:rFonts w:ascii="Times New Roman" w:hAnsi="Times New Roman"/>
                <w:sz w:val="20"/>
              </w:rPr>
              <w:t>28.01.2026</w:t>
            </w:r>
          </w:p>
        </w:tc>
        <w:tc>
          <w:tcPr>
            <w:tcW w:type="dxa" w:w="3024"/>
          </w:tcPr>
          <w:p>
            <w:r>
              <w:rPr>
                <w:rFonts w:ascii="Times New Roman" w:hAnsi="Times New Roman"/>
                <w:sz w:val="20"/>
              </w:rPr>
              <w:t>Lübbers per E-Mail: „Wir nehmen das Angebot an" (im Namen GmbH)</w:t>
            </w:r>
          </w:p>
        </w:tc>
        <w:tc>
          <w:tcPr>
            <w:tcW w:type="dxa" w:w="3024"/>
          </w:tcPr>
          <w:p>
            <w:r>
              <w:rPr>
                <w:rFonts w:ascii="Times New Roman" w:hAnsi="Times New Roman"/>
                <w:sz w:val="20"/>
              </w:rPr>
              <w:t>Annahme § 147 Abs. 2 BGB — aber: vollmachtlos</w:t>
            </w:r>
          </w:p>
        </w:tc>
      </w:tr>
    </w:tbl>
    <w:p>
      <w:pPr>
        <w:pStyle w:val="Heading3"/>
      </w:pPr>
      <w:r>
        <w:rPr>
          <w:rFonts w:ascii="Times New Roman" w:hAnsi="Times New Roman"/>
        </w:rPr>
        <w:t>B. Invitatio ad offerendum oder Antrag?</w:t>
      </w:r>
    </w:p>
    <w:p>
      <w:pPr>
        <w:jc w:val="left"/>
      </w:pPr>
      <w:r>
        <w:t>Das Angebot der Meißen GmbH vom 28.01.2026 ist ein Antrag i.S.d. § 145 BGB (hinreichend bestimmt, verbindlich). Lübbers Annahme-E-Mail ist eine Willenserklärung mit Annahmewillen. Da Lübbers ohne Vollmacht handelte, ist der Vertrag gemäß § 177 Abs. 1 BGB schwebend unwirksam (s. Aktenstück 06).</w:t>
      </w:r>
    </w:p>
    <w:p>
      <w:pPr>
        <w:pStyle w:val="Heading3"/>
      </w:pPr>
      <w:r>
        <w:rPr>
          <w:rFonts w:ascii="Times New Roman" w:hAnsi="Times New Roman"/>
        </w:rPr>
        <w:t>C. § 150 Abs. 2 BGB — Modifizierte Annahme?</w:t>
      </w:r>
    </w:p>
    <w:p>
      <w:pPr>
        <w:jc w:val="left"/>
      </w:pPr>
      <w:r>
        <w:t>Hatte Meißen GmbH in ihrem Angebot andere Bedingungen als in Lübbers Anfrage genannt? Falls Meißen GmbH abweichende Lieferbedingungen hinzugefügt hatte, liegt nur ein neuer Antrag von Meißen vor (§ 150 Abs. 2 BGB), dem Lübbers zustimmen musste. Im Ergebnis: kein automatischer Vertragsschluss ohne ausdrückliche Annahme aller abweichenden Bedingungen.</w:t>
      </w:r>
    </w:p>
    <w:p/>
    <w:p>
      <w:pPr>
        <w:pStyle w:val="Heading2"/>
      </w:pPr>
      <w:r>
        <w:rPr>
          <w:rFonts w:ascii="Times New Roman" w:hAnsi="Times New Roman"/>
        </w:rPr>
        <w:t>IV. Klausurmerkzeichen — Prüfungsreihenfolge Vertragsschluss</w:t>
      </w:r>
    </w:p>
    <w:p>
      <w:pPr>
        <w:jc w:val="left"/>
      </w:pPr>
      <w:r>
        <w:t>```</w:t>
      </w:r>
    </w:p>
    <w:p>
      <w:pPr>
        <w:jc w:val="left"/>
      </w:pPr>
      <w:r>
        <w:t>[1] Antrag § 145 BGB</w:t>
      </w:r>
    </w:p>
    <w:p>
      <w:pPr>
        <w:jc w:val="left"/>
      </w:pPr>
      <w:r>
        <w:t>├── Bestimmt genug? (Mindest-Essentialia des Vertrags)</w:t>
      </w:r>
    </w:p>
    <w:p>
      <w:pPr>
        <w:jc w:val="left"/>
      </w:pPr>
      <w:r>
        <w:t>├── Bindungswille des Antragenden?</w:t>
      </w:r>
    </w:p>
    <w:p>
      <w:pPr>
        <w:jc w:val="left"/>
      </w:pPr>
      <w:r>
        <w:t>└── Zugang § 130 BGB beim Empfänger</w:t>
      </w:r>
    </w:p>
    <w:p>
      <w:pPr>
        <w:jc w:val="left"/>
      </w:pPr>
      <w:r>
        <w:t>[2] Annahmefrist §§ 147, 148 BGB</w:t>
      </w:r>
    </w:p>
    <w:p>
      <w:pPr>
        <w:jc w:val="left"/>
      </w:pPr>
      <w:r>
        <w:t>├── Unter Anwesenden: sofort (§ 147 I)</w:t>
      </w:r>
    </w:p>
    <w:p>
      <w:pPr>
        <w:jc w:val="left"/>
      </w:pPr>
      <w:r>
        <w:t>└── Unter Abwesenden: angemessene Frist (§ 147 II)</w:t>
      </w:r>
    </w:p>
    <w:p>
      <w:pPr>
        <w:jc w:val="left"/>
      </w:pPr>
      <w:r>
        <w:t>[3] Annahme § 147 BGB</w:t>
      </w:r>
    </w:p>
    <w:p>
      <w:pPr>
        <w:jc w:val="left"/>
      </w:pPr>
      <w:r>
        <w:t>├── Inhaltlich deckungsgleich (Kongruenz)?</w:t>
      </w:r>
    </w:p>
    <w:p>
      <w:pPr>
        <w:jc w:val="left"/>
      </w:pPr>
      <w:r>
        <w:t>│   └── NEIN → § 150 II: Ablehnung + neuer Antrag</w:t>
      </w:r>
    </w:p>
    <w:p>
      <w:pPr>
        <w:jc w:val="left"/>
      </w:pPr>
      <w:r>
        <w:t>├── Rechtzeitig (innerhalb Annahmefrist)?</w:t>
      </w:r>
    </w:p>
    <w:p>
      <w:pPr>
        <w:jc w:val="left"/>
      </w:pPr>
      <w:r>
        <w:t>│   └── NEIN → § 150 I: gilt als neuer Antrag</w:t>
      </w:r>
    </w:p>
    <w:p>
      <w:pPr>
        <w:jc w:val="left"/>
      </w:pPr>
      <w:r>
        <w:t>└── Zugang § 130 BGB</w:t>
      </w:r>
    </w:p>
    <w:p>
      <w:pPr>
        <w:jc w:val="left"/>
      </w:pPr>
      <w:r>
        <w:t>[4] Einigung / Konsens</w:t>
      </w:r>
    </w:p>
    <w:p>
      <w:pPr>
        <w:jc w:val="left"/>
      </w:pPr>
      <w:r>
        <w:t>└── Dissens § 155 BGB: Lücken in Einigung → ggf. Ergänzungsauslegung</w:t>
      </w:r>
    </w:p>
    <w:p>
      <w:pPr>
        <w:jc w:val="left"/>
      </w:pPr>
      <w:r>
        <w:t>[5] Sonderprobleme</w:t>
      </w:r>
    </w:p>
    <w:p>
      <w:pPr>
        <w:jc w:val="left"/>
      </w:pPr>
      <w:r>
        <w:t>├── Schriftformvorbehalt § 154 II BGB</w:t>
      </w:r>
    </w:p>
    <w:p>
      <w:pPr>
        <w:jc w:val="left"/>
      </w:pPr>
      <w:r>
        <w:t>├── Invitatio vs. Antrag (Auslegung)</w:t>
      </w:r>
    </w:p>
    <w:p>
      <w:pPr>
        <w:jc w:val="left"/>
      </w:pPr>
      <w:r>
        <w:t>├── Stellvertretung §§ 164 ff. BGB</w:t>
      </w:r>
    </w:p>
    <w:p>
      <w:pPr>
        <w:jc w:val="left"/>
      </w:pPr>
      <w:r>
        <w:t>└── AGB-Einbeziehung §§ 305 ff. BGB</w:t>
      </w:r>
    </w:p>
    <w:p>
      <w:pPr>
        <w:jc w:val="left"/>
      </w:pPr>
      <w:r>
        <w:t>```</w:t>
      </w:r>
    </w:p>
    <w:p/>
    <w:p>
      <w:pPr>
        <w:pStyle w:val="Heading2"/>
      </w:pPr>
      <w:r>
        <w:rPr>
          <w:rFonts w:ascii="Times New Roman" w:hAnsi="Times New Roman"/>
        </w:rPr>
        <w:t>V. Abgrenzung Antrag / Invitatio ad offerendum</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Merkmal</w:t>
            </w:r>
          </w:p>
        </w:tc>
        <w:tc>
          <w:tcPr>
            <w:tcW w:type="dxa" w:w="3024"/>
          </w:tcPr>
          <w:p>
            <w:r>
              <w:rPr>
                <w:rFonts w:ascii="Times New Roman" w:hAnsi="Times New Roman"/>
                <w:b/>
                <w:sz w:val="20"/>
              </w:rPr>
              <w:t>Antrag (§ 145 BGB)</w:t>
            </w:r>
          </w:p>
        </w:tc>
        <w:tc>
          <w:tcPr>
            <w:tcW w:type="dxa" w:w="3024"/>
          </w:tcPr>
          <w:p>
            <w:r>
              <w:rPr>
                <w:rFonts w:ascii="Times New Roman" w:hAnsi="Times New Roman"/>
                <w:b/>
                <w:sz w:val="20"/>
              </w:rPr>
              <w:t>Invitatio ad offerendum</w:t>
            </w:r>
          </w:p>
        </w:tc>
      </w:tr>
      <w:tr>
        <w:tc>
          <w:tcPr>
            <w:tcW w:type="dxa" w:w="3024"/>
          </w:tcPr>
          <w:p>
            <w:r>
              <w:rPr>
                <w:rFonts w:ascii="Times New Roman" w:hAnsi="Times New Roman"/>
                <w:sz w:val="20"/>
              </w:rPr>
              <w:t>Bindungswille</w:t>
            </w:r>
          </w:p>
        </w:tc>
        <w:tc>
          <w:tcPr>
            <w:tcW w:type="dxa" w:w="3024"/>
          </w:tcPr>
          <w:p>
            <w:r>
              <w:rPr>
                <w:rFonts w:ascii="Times New Roman" w:hAnsi="Times New Roman"/>
                <w:sz w:val="20"/>
              </w:rPr>
              <w:t>Ja — Antragender will an Erklärung gebunden sein</w:t>
            </w:r>
          </w:p>
        </w:tc>
        <w:tc>
          <w:tcPr>
            <w:tcW w:type="dxa" w:w="3024"/>
          </w:tcPr>
          <w:p>
            <w:r>
              <w:rPr>
                <w:rFonts w:ascii="Times New Roman" w:hAnsi="Times New Roman"/>
                <w:sz w:val="20"/>
              </w:rPr>
              <w:t>Nein — nur Aufforderung zur Abgabe eines Angebots</w:t>
            </w:r>
          </w:p>
        </w:tc>
      </w:tr>
      <w:tr>
        <w:tc>
          <w:tcPr>
            <w:tcW w:type="dxa" w:w="3024"/>
          </w:tcPr>
          <w:p>
            <w:r>
              <w:rPr>
                <w:rFonts w:ascii="Times New Roman" w:hAnsi="Times New Roman"/>
                <w:sz w:val="20"/>
              </w:rPr>
              <w:t>Bestimmtheit</w:t>
            </w:r>
          </w:p>
        </w:tc>
        <w:tc>
          <w:tcPr>
            <w:tcW w:type="dxa" w:w="3024"/>
          </w:tcPr>
          <w:p>
            <w:r>
              <w:rPr>
                <w:rFonts w:ascii="Times New Roman" w:hAnsi="Times New Roman"/>
                <w:sz w:val="20"/>
              </w:rPr>
              <w:t>Alle wesentlichen Vertragsbestandteile genannt</w:t>
            </w:r>
          </w:p>
        </w:tc>
        <w:tc>
          <w:tcPr>
            <w:tcW w:type="dxa" w:w="3024"/>
          </w:tcPr>
          <w:p>
            <w:r>
              <w:rPr>
                <w:rFonts w:ascii="Times New Roman" w:hAnsi="Times New Roman"/>
                <w:sz w:val="20"/>
              </w:rPr>
              <w:t>Oft unvollständig</w:t>
            </w:r>
          </w:p>
        </w:tc>
      </w:tr>
      <w:tr>
        <w:tc>
          <w:tcPr>
            <w:tcW w:type="dxa" w:w="3024"/>
          </w:tcPr>
          <w:p>
            <w:r>
              <w:rPr>
                <w:rFonts w:ascii="Times New Roman" w:hAnsi="Times New Roman"/>
                <w:sz w:val="20"/>
              </w:rPr>
              <w:t>Beispiele</w:t>
            </w:r>
          </w:p>
        </w:tc>
        <w:tc>
          <w:tcPr>
            <w:tcW w:type="dxa" w:w="3024"/>
          </w:tcPr>
          <w:p>
            <w:r>
              <w:rPr>
                <w:rFonts w:ascii="Times New Roman" w:hAnsi="Times New Roman"/>
                <w:sz w:val="20"/>
              </w:rPr>
              <w:t>Individuelles Angebot mit Preis und Menge</w:t>
            </w:r>
          </w:p>
        </w:tc>
        <w:tc>
          <w:tcPr>
            <w:tcW w:type="dxa" w:w="3024"/>
          </w:tcPr>
          <w:p>
            <w:r>
              <w:rPr>
                <w:rFonts w:ascii="Times New Roman" w:hAnsi="Times New Roman"/>
                <w:sz w:val="20"/>
              </w:rPr>
              <w:t>Katalog, Schaufensterauslage (BGH NJW 1980, 1388), Internetshop (str.)</w:t>
            </w:r>
          </w:p>
        </w:tc>
      </w:tr>
      <w:tr>
        <w:tc>
          <w:tcPr>
            <w:tcW w:type="dxa" w:w="3024"/>
          </w:tcPr>
          <w:p>
            <w:r>
              <w:rPr>
                <w:rFonts w:ascii="Times New Roman" w:hAnsi="Times New Roman"/>
                <w:sz w:val="20"/>
              </w:rPr>
              <w:t>Rechtsfolge</w:t>
            </w:r>
          </w:p>
        </w:tc>
        <w:tc>
          <w:tcPr>
            <w:tcW w:type="dxa" w:w="3024"/>
          </w:tcPr>
          <w:p>
            <w:r>
              <w:rPr>
                <w:rFonts w:ascii="Times New Roman" w:hAnsi="Times New Roman"/>
                <w:sz w:val="20"/>
              </w:rPr>
              <w:t>Vertrag kommt mit Annahme zustande</w:t>
            </w:r>
          </w:p>
        </w:tc>
        <w:tc>
          <w:tcPr>
            <w:tcW w:type="dxa" w:w="3024"/>
          </w:tcPr>
          <w:p>
            <w:r>
              <w:rPr>
                <w:rFonts w:ascii="Times New Roman" w:hAnsi="Times New Roman"/>
                <w:sz w:val="20"/>
              </w:rPr>
              <w:t>Kein Vertrag; Vertragspartner muss erst Antrag stellen</w:t>
            </w:r>
          </w:p>
        </w:tc>
      </w:tr>
    </w:tbl>
    <w:p>
      <w:pPr>
        <w:jc w:val="left"/>
      </w:pPr>
      <w:r>
        <w:rPr>
          <w:b/>
        </w:rPr>
        <w:t>Quellen:</w:t>
      </w:r>
    </w:p>
    <w:p>
      <w:pPr>
        <w:jc w:val="left"/>
      </w:pPr>
      <w:r>
        <w:t>§§ 145–155 BGB: https://dejure.org/gesetze/BGB/145.html</w:t>
      </w:r>
    </w:p>
    <w:p>
      <w:pPr>
        <w:jc w:val="left"/>
      </w:pPr>
      <w:r>
        <w:t>§ 150 BGB: https://dejure.org/gesetze/BGB/150.html</w:t>
      </w:r>
    </w:p>
    <w:p>
      <w:pPr>
        <w:jc w:val="left"/>
      </w:pPr>
      <w:r>
        <w:t>§ 154 BGB: https://dejure.org/gesetze/BGB/154.html</w:t>
      </w:r>
    </w:p>
    <w:p>
      <w:pPr>
        <w:jc w:val="left"/>
      </w:pPr>
      <w:r>
        <w:t>BGH NJW 1980, 1388 (Schaufensterauslage, Invitatio): https://openjur.de</w:t>
      </w:r>
    </w:p>
    <w:p>
      <w:pPr>
        <w:jc w:val="left"/>
      </w:pPr>
      <w:r>
        <w:t>BGH NJW 2014, 1951 (Vertragsschluss per E-Mail, Annahmefrist § 147 II BGB): https://www.bundesgerichtshof.de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