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Gesamtfall-Prüfungsvermerk — BGB AT Pohlmann / Erbenstraße Leipzig</w:t>
      </w:r>
    </w:p>
    <w:p>
      <w:pPr>
        <w:jc w:val="left"/>
      </w:pPr>
      <w:r>
        <w:rPr>
          <w:b/>
        </w:rPr>
        <w:t>Bearbeiter:</w:t>
      </w:r>
      <w:r>
        <w:t xml:space="preserve"> RA Dr. Heinrich Schweizer-Loberg</w:t>
      </w:r>
    </w:p>
    <w:p>
      <w:pPr>
        <w:jc w:val="left"/>
      </w:pPr>
      <w:r>
        <w:rPr>
          <w:b/>
        </w:rPr>
        <w:t>Datum:</w:t>
      </w:r>
      <w:r>
        <w:t xml:space="preserve"> 20. Mai 2026</w:t>
      </w:r>
    </w:p>
    <w:p>
      <w:pPr>
        <w:jc w:val="left"/>
      </w:pPr>
      <w:r>
        <w:rPr>
          <w:b/>
        </w:rPr>
        <w:t>Bezug:</w:t>
      </w:r>
      <w:r>
        <w:t xml:space="preserve"> Zusammenfassung der AT-Komplexe der Akte zur weiteren schriftsätzlichen und taktischen Bearbeitung</w:t>
      </w:r>
    </w:p>
    <w:p/>
    <w:p>
      <w:pPr>
        <w:pStyle w:val="Heading2"/>
      </w:pPr>
      <w:r>
        <w:rPr>
          <w:rFonts w:ascii="Times New Roman" w:hAnsi="Times New Roman"/>
        </w:rPr>
        <w:t>I. Fallübersicht und Prüfungsbedarf</w:t>
      </w:r>
    </w:p>
    <w:p>
      <w:pPr>
        <w:jc w:val="left"/>
      </w:pPr>
      <w:r>
        <w:t>Die Akte Pohlmann-Ofenkaess bündelt mehrere Streitpunkte aus dem Allgemeinen Teil des BGB. Für die weitere Bearbeitung sind folgende Komplexe getrennt zu prüfen: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BGB-AT-Komplex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Aktenstücke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Paragrafen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Willenserklärung und Auslegung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18, 21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§§ 133, 157, 145–155 BGB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Anfechtung (Erklärungsirrtum)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03, 04, 14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§§ 119 I, 121, 122, 142, 143 BGB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Anfechtung (Eigenschaftsirrtum)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119 II BGB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Geschäftsfähigkeit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§§ 104, 105 II BGB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Nichtigkeit §§ 134, 138 BGB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§§ 134, 138 I, 138 II BGB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Stellvertretung und Vollmacht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06, 07, 15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§§ 164–179 BGB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Schwebende Unwirksamkeit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06, 08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§§ 177, 184 BGB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Duldungs-/Anscheinsvollmacht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07, 15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§§ 170–172 BGB analog; Richterrecht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AGB-Recht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§§ 305, 305c, 307 BGB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Verjährung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11, 20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§§ 195, 199, 204, 213 BGB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Fristenberechnung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§§ 186–193 BGB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Schadensersatz statt Leistung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§§ 280, 281 BGB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Schenkungswiderruf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§§ 530, 531, 532 BGB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Zugang Willenserklärung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130 BGB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II. Prüfungsstil: Gutachtenstil und Urteilsstil</w:t>
      </w:r>
    </w:p>
    <w:p>
      <w:pPr>
        <w:pStyle w:val="Heading3"/>
      </w:pPr>
      <w:r>
        <w:rPr>
          <w:rFonts w:ascii="Times New Roman" w:hAnsi="Times New Roman"/>
        </w:rPr>
        <w:t>Gutachtenstil</w:t>
      </w:r>
    </w:p>
    <w:p>
      <w:pPr>
        <w:jc w:val="left"/>
      </w:pPr>
      <w:r>
        <w:t>Im Gutachtenstil wird die Rechtsfrage hypothetisch beantwortet: erst Definition, dann Subsumtion, dann Ergebnis.</w:t>
      </w:r>
    </w:p>
    <w:p>
      <w:pPr>
        <w:jc w:val="left"/>
      </w:pPr>
      <w:r>
        <w:rPr>
          <w:b/>
        </w:rPr>
        <w:t>Formel:</w:t>
      </w:r>
      <w:r>
        <w:t xml:space="preserve"> „[Anspruchsinhaber] könnte gegen [Anspruchsgegner] einen Anspruch auf [Leistung] aus [Anspruchsgrundlage] haben."</w:t>
      </w:r>
    </w:p>
    <w:p>
      <w:pPr>
        <w:pStyle w:val="Heading3"/>
      </w:pPr>
      <w:r>
        <w:rPr>
          <w:rFonts w:ascii="Times New Roman" w:hAnsi="Times New Roman"/>
        </w:rPr>
        <w:t>Urteilsstil</w:t>
      </w:r>
    </w:p>
    <w:p>
      <w:pPr>
        <w:jc w:val="left"/>
      </w:pPr>
      <w:r>
        <w:t>Der Urteilsstil setzt das Ergebnis voraus und begründet dann: „[Person] hat einen Anspruch aus [AGL], weil ..."</w:t>
      </w:r>
    </w:p>
    <w:p>
      <w:pPr>
        <w:jc w:val="left"/>
      </w:pPr>
      <w:r>
        <w:rPr>
          <w:b/>
        </w:rPr>
        <w:t>Regel für diese Akte:</w:t>
      </w:r>
      <w:r>
        <w:t xml:space="preserve"> Offene Anspruchsfragen werden im Gutachtenstil vorbereitet; feststehende Sachverhaltsabschnitte können im späteren Entwurf im Urteilsstil verdichtet werden.</w:t>
      </w:r>
    </w:p>
    <w:p/>
    <w:p>
      <w:pPr>
        <w:pStyle w:val="Heading2"/>
      </w:pPr>
      <w:r>
        <w:rPr>
          <w:rFonts w:ascii="Times New Roman" w:hAnsi="Times New Roman"/>
        </w:rPr>
        <w:t>III. Musterprüfung: Anfechtung Pachtvertrag (komprimiert)</w:t>
      </w:r>
    </w:p>
    <w:p>
      <w:pPr>
        <w:jc w:val="left"/>
      </w:pPr>
      <w:r>
        <w:rPr>
          <w:b/>
        </w:rPr>
        <w:t>P könnte gegen R einen Anspruch auf Feststellung der Nichtigkeit des Pachtvertrags vom 03.02.2026 haben.</w:t>
      </w:r>
    </w:p>
    <w:p>
      <w:pPr>
        <w:jc w:val="left"/>
      </w:pPr>
      <w:r>
        <w:rPr>
          <w:b/>
        </w:rPr>
        <w:t>I. Wirksame Anfechtungserklärung (§ 143 Abs. 1 BGB)</w:t>
      </w:r>
    </w:p>
    <w:p>
      <w:pPr>
        <w:jc w:val="left"/>
      </w:pPr>
      <w:r>
        <w:t>P hat mit Schreiben vom 17.03.2026 (Zugang 20.03.2026) die Anfechtung des Pachtvertrags erklärt. Die Erklärung ist hinreichend bestimmt und gegenüber dem Vertragspartner R als Anfechtungsgegner (§ 143 Abs. 2 BGB) erklärt worden. (+)</w:t>
      </w:r>
    </w:p>
    <w:p>
      <w:pPr>
        <w:jc w:val="left"/>
      </w:pPr>
      <w:r>
        <w:rPr>
          <w:b/>
        </w:rPr>
        <w:t>II. Anfechtungsgrund (§ 119 Abs. 1 Alt. 1 BGB)</w:t>
      </w:r>
    </w:p>
    <w:p>
      <w:pPr>
        <w:jc w:val="left"/>
      </w:pPr>
      <w:r>
        <w:t>Erklärungsirrtum: P wollte einen Pachtzins von 4.900 EUR erklären, hat jedoch 9.800 EUR als Vertragsinhalt unterschrieben. Erklärtes und Gewolltes weichen voneinander ab (Verlesen/Verwechseln beim Unterzeichnen). (+) Kein bloßer Motivirrtum (keine irrtümliche Beweggründe, sondern mechanisches Versehen).</w:t>
      </w:r>
    </w:p>
    <w:p>
      <w:pPr>
        <w:jc w:val="left"/>
      </w:pPr>
      <w:r>
        <w:rPr>
          <w:b/>
        </w:rPr>
        <w:t>III. Unverzüglichkeit (§ 121 Abs. 1 BGB)</w:t>
      </w:r>
    </w:p>
    <w:p>
      <w:pPr>
        <w:jc w:val="left"/>
      </w:pPr>
      <w:r>
        <w:t>Kenntnis vom Irrtum: 10.02.2026. Zugang Anfechtung: 20.03.2026. Zeitabstand 38 Tage. Mit Abzug der Rechtsberatungsphase (01.03.–17.03.2026, 16 Tage) verbleiben 22 Tage Eigeninitiative. Bei unternehmerischem Komplex und Rechtsberatungsbedarf noch unverzüglich (BGH NJW 2008, 3352). (+)</w:t>
      </w:r>
    </w:p>
    <w:p>
      <w:pPr>
        <w:jc w:val="left"/>
      </w:pPr>
      <w:r>
        <w:rPr>
          <w:b/>
        </w:rPr>
        <w:t>IV. Rechtsfolge (§ 142 Abs. 1 BGB)</w:t>
      </w:r>
    </w:p>
    <w:p>
      <w:pPr>
        <w:jc w:val="left"/>
      </w:pPr>
      <w:r>
        <w:t>Der Pachtvertrag gilt als von Anfang an nichtig. P schuldet R Vertrauensschaden gemäß § 122 Abs. 1 BGB.</w:t>
      </w:r>
    </w:p>
    <w:p>
      <w:pPr>
        <w:jc w:val="left"/>
      </w:pPr>
      <w:r>
        <w:rPr>
          <w:b/>
        </w:rPr>
        <w:t>Ergebnis:</w:t>
      </w:r>
      <w:r>
        <w:t xml:space="preserve"> Anfechtung wirksam; Pachtvertrag nichtig ex tunc.</w:t>
      </w:r>
    </w:p>
    <w:p/>
    <w:p>
      <w:pPr>
        <w:pStyle w:val="Heading2"/>
      </w:pPr>
      <w:r>
        <w:rPr>
          <w:rFonts w:ascii="Times New Roman" w:hAnsi="Times New Roman"/>
        </w:rPr>
        <w:t>IV. Fehlerquellen im Fall Pohlmann</w:t>
      </w:r>
    </w:p>
    <w:p>
      <w:pPr>
        <w:pStyle w:val="Heading3"/>
      </w:pPr>
      <w:r>
        <w:rPr>
          <w:rFonts w:ascii="Times New Roman" w:hAnsi="Times New Roman"/>
        </w:rPr>
        <w:t>Fehlerquelle 1: § 122 BGB nach Anfechtung nicht vergessen</w:t>
      </w:r>
    </w:p>
    <w:p>
      <w:pPr>
        <w:jc w:val="left"/>
      </w:pPr>
      <w:r>
        <w:t>Nach wirksamer Anfechtung gem. §§ 119, 120 BGB entsteht automatisch Haftung aus § 122 BGB. Dieser Punkt muss im Anspruchsprogramm sichtbar geprüft werden. Bei § 123 BGB-Anfechtung gilt § 122 BGB nicht; dort kommt eine Haftung des Täuschenden aus §§ 823 II BGB, 263 StGB in Betracht.</w:t>
      </w:r>
    </w:p>
    <w:p>
      <w:pPr>
        <w:pStyle w:val="Heading3"/>
      </w:pPr>
      <w:r>
        <w:rPr>
          <w:rFonts w:ascii="Times New Roman" w:hAnsi="Times New Roman"/>
        </w:rPr>
        <w:t>Fehlerquelle 2: Schwebende Unwirksamkeit ist nicht Nichtigkeit</w:t>
      </w:r>
    </w:p>
    <w:p>
      <w:pPr>
        <w:jc w:val="left"/>
      </w:pPr>
      <w:r>
        <w:t>§ 177 BGB-Vertrag ist schwebend unwirksam — weder wirksam noch nichtig, bis Genehmigung erklärt oder verweigert. Im Entwurf genau benennen: „schwebend unwirksam", nicht „nichtig".</w:t>
      </w:r>
    </w:p>
    <w:p>
      <w:pPr>
        <w:pStyle w:val="Heading3"/>
      </w:pPr>
      <w:r>
        <w:rPr>
          <w:rFonts w:ascii="Times New Roman" w:hAnsi="Times New Roman"/>
        </w:rPr>
        <w:t>Fehlerquelle 3: Minderjährigenhaftung § 179 Abs. 3 S. 2 BGB</w:t>
      </w:r>
    </w:p>
    <w:p>
      <w:pPr>
        <w:jc w:val="left"/>
      </w:pPr>
      <w:r>
        <w:t xml:space="preserve">Minderjährige falsus-procuratores haften nach § 179 BGB </w:t>
      </w:r>
      <w:r>
        <w:rPr>
          <w:b/>
        </w:rPr>
        <w:t>nicht</w:t>
      </w:r>
      <w:r>
        <w:t>, wenn sie den Vollmachtsmangel nicht kannten. Immer prüfen, ob der Vertreter minderjährig war.</w:t>
      </w:r>
    </w:p>
    <w:p>
      <w:pPr>
        <w:pStyle w:val="Heading3"/>
      </w:pPr>
      <w:r>
        <w:rPr>
          <w:rFonts w:ascii="Times New Roman" w:hAnsi="Times New Roman"/>
        </w:rPr>
        <w:t>Fehlerquelle 4: § 105 Abs. 2 BGB — kein § 122 BGB</w:t>
      </w:r>
    </w:p>
    <w:p>
      <w:pPr>
        <w:jc w:val="left"/>
      </w:pPr>
      <w:r>
        <w:t>Bei Nichtigkeit wegen vorübergehender Geschäftsunfähigkeit (§ 105 Abs. 2 BGB) entsteht kein § 122 BGB-Vertrauensschaden. Dies ist ein prozessualer Vorteil gegenüber der Anfechtung nach § 119 BGB.</w:t>
      </w:r>
    </w:p>
    <w:p>
      <w:pPr>
        <w:pStyle w:val="Heading3"/>
      </w:pPr>
      <w:r>
        <w:rPr>
          <w:rFonts w:ascii="Times New Roman" w:hAnsi="Times New Roman"/>
        </w:rPr>
        <w:t>Fehlerquelle 5: Verjährungsbeginn Stichtagsprinzip</w:t>
      </w:r>
    </w:p>
    <w:p>
      <w:pPr>
        <w:jc w:val="left"/>
      </w:pPr>
      <w:r>
        <w:t>Verjährungsbeginn gemäß § 199 BGB ist regelmäßig der 31.12. des Jahres, nicht der Tag der Entstehung/Kenntnis. Für diese Akte daher nicht taggenau „Ab 10.02.2026 + 3 Jahre = 10.02.2029" rechnen, sondern 31.12.2026 + 3 Jahre = 31.12.2029.</w:t>
      </w:r>
    </w:p>
    <w:p/>
    <w:p>
      <w:pPr>
        <w:pStyle w:val="Heading2"/>
      </w:pPr>
      <w:r>
        <w:rPr>
          <w:rFonts w:ascii="Times New Roman" w:hAnsi="Times New Roman"/>
        </w:rPr>
        <w:t>V. BGH-Linien in der Zusammenfassung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Thema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BGH-Entscheidung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Leitsatz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Erklärungsirrtum / Motivirrtum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BGH NJW 1995, 190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Motivirrtum grundsätzlich unbeachtlich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Unverzüglichkeit § 121 BGB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BGH NJW 2008, 3352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Rechtsberatungszeit unverzüglichkeitsneutral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105 Abs. 2 BGB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BGH NJW 2018, 2127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Freie Willensbestimmung muss vollständig ausgeschlossen sein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Anscheinsvollmacht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BGH NJW 2017, 1169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Fahrlässige Unkenntnis des Vertretenen + Vertrauen des Dritten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AGB § 305c BGB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BGH NJW 1992, 1232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Objektiv und subjektiv überraschend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Verjährungsbeginn § 199 BGB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BGH NJW 2008, 1233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Stichtagsprinzip 31.12.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Wucher § 138 II BGB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BGH NJW 2002, 429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Mindestens 100 % Überschreitung Marktpreis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Gutgläubiger Erwerb § 932 BGB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BGH NJW 2003, 3271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Grobe Fahrlässigkeit — Mindestmaß an Verdacht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VI. Verfahrensstatus (Stichtag 20.05.2026)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Nächster Schritt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LG Leipzig 4 O 188/26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Klagerwiderung fällig 20.05.2026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Einreichen heute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AG Leipzig 105 C 4188/26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Termin 15.06.2026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Vorbereitung Plädoyer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OLG Dresden 12 U 22/26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Berufungsbegründungsfrist 01.07.2026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Berufungsbegründung vorbereiten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Finanzamt Leipzig (Einspruch)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Einspruch 25.04.2026 eingelegt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Anhörung abwarten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Schenkungswiderruf Florian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Widerrufserklärung noch nicht erstattet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Sofort erstatten!</w:t>
            </w:r>
          </w:p>
        </w:tc>
      </w:tr>
    </w:tbl>
    <w:p/>
    <w:p>
      <w:pPr>
        <w:jc w:val="left"/>
      </w:pPr>
      <w:r>
        <w:rPr>
          <w:b/>
        </w:rPr>
        <w:t>Quellen (Gesamtakt):</w:t>
      </w:r>
    </w:p>
    <w:p>
      <w:pPr>
        <w:jc w:val="left"/>
      </w:pPr>
      <w:r>
        <w:t>Dejure.org — BGB AT Volltext: https://dejure.org/gesetze/BGB</w:t>
      </w:r>
    </w:p>
    <w:p>
      <w:pPr>
        <w:jc w:val="left"/>
      </w:pPr>
      <w:r>
        <w:t>Bundesgerichtshof — Rechtsprechungsdatenbank: https://www.bundesgerichtshof.de</w:t>
      </w:r>
    </w:p>
    <w:p>
      <w:pPr>
        <w:jc w:val="left"/>
      </w:pPr>
      <w:r>
        <w:t>OpenJur — Freie Rechtsprechung: https://openjur.de</w:t>
      </w:r>
    </w:p>
    <w:p>
      <w:pPr>
        <w:jc w:val="left"/>
      </w:pPr>
      <w:r>
        <w:t>Palandt/Ellenberger BGB, 83. Aufl. 2024 — Standardkommentar</w:t>
      </w:r>
    </w:p>
    <w:p>
      <w:pPr>
        <w:jc w:val="left"/>
      </w:pPr>
      <w:r>
        <w:t>MüKoBGB, 9. Aufl. 2024 — Wissenschaftlicher Kommentar</w:t>
      </w:r>
    </w:p>
    <w:p>
      <w:pPr>
        <w:jc w:val="left"/>
      </w:pPr>
      <w:r>
        <w:t>Brox/Walker, BGB Allgemeiner Teil, 47. Aufl. 2023 — Lehrbuch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