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Anlagenkonvolut LG Aachen — Strukturierungskonzept</w:t>
      </w:r>
    </w:p>
    <w:p>
      <w:pPr>
        <w:jc w:val="left"/>
      </w:pPr>
      <w:r>
        <w:t>Datum: 20. Januar 2026</w:t>
      </w:r>
    </w:p>
    <w:p>
      <w:pPr>
        <w:jc w:val="left"/>
      </w:pPr>
      <w:r>
        <w:t>Bearbeiter: RA Dr. Bertram Söhnchen LL.M.</w:t>
      </w:r>
    </w:p>
    <w:p>
      <w:pPr>
        <w:jc w:val="left"/>
      </w:pPr>
      <w:r>
        <w:t>Az.: 11 O 188/26 (LG Aachen)</w:t>
      </w:r>
    </w:p>
    <w:p/>
    <w:p>
      <w:pPr>
        <w:pStyle w:val="Heading2"/>
      </w:pPr>
      <w:r>
        <w:rPr>
          <w:rFonts w:ascii="Times New Roman" w:hAnsi="Times New Roman"/>
        </w:rPr>
        <w:t>Ausgangslage</w:t>
      </w:r>
    </w:p>
    <w:p>
      <w:pPr>
        <w:jc w:val="left"/>
      </w:pPr>
      <w:r>
        <w:t>Die Werkmann GmbH hat zur Begründung ihrer Werklohnforderung von 2.400.000 EUR insgesamt 3.847 Einzeldokumente vorzulegen. Eine undifferenzierte Einreichung aller 3.847 Dokumente als Gerichtsanlage ist aus mehreren Gründen unzulässig oder zumindest kontraproduktiv:</w:t>
      </w:r>
    </w:p>
    <w:p>
      <w:pPr>
        <w:pStyle w:val="ListNumber"/>
      </w:pPr>
      <w:r>
        <w:rPr>
          <w:b/>
        </w:rPr>
        <w:t>Substantiierungspflicht</w:t>
      </w:r>
      <w:r>
        <w:t>: Der Kläger muss seinen Vortrag so konkret halten, dass das Gericht die einzelnen Anspruchspositionen nachvollziehen kann. Wird ein Konvolut ohne Zuordnung zu Anspruchspositionen vorgelegt, genügt dies nicht den Anforderungen des § 130 ZPO. Vgl. BGH, Urteil vom 07.11.1985 — VII ZR 270/84 (bundesgerichtshof.de), zur Anforderung an die Konkretisierung von Bauvergütungsansprüchen.</w:t>
      </w:r>
    </w:p>
    <w:p>
      <w:pPr>
        <w:pStyle w:val="ListNumber"/>
      </w:pPr>
      <w:r>
        <w:rPr>
          <w:b/>
        </w:rPr>
        <w:t>Prozessökonomie</w:t>
      </w:r>
      <w:r>
        <w:t>: Das LG Aachen hat in ähnlich gelagerten Bausachen darauf hingewiesen, dass Anlagenkonvolute, die nicht nach Anspruchspositionen gegliedert sind, als nicht hinreichend vorgelegt behandelt werden können (informelle Mitteilung der Geschäftsstelle, Aktenvermerk 19.01.2026).</w:t>
      </w:r>
    </w:p>
    <w:p>
      <w:pPr>
        <w:pStyle w:val="ListNumber"/>
      </w:pPr>
      <w:r>
        <w:rPr>
          <w:b/>
        </w:rPr>
        <w:t>Praktische Handhabung</w:t>
      </w:r>
      <w:r>
        <w:t>: Ein Anlagenkonvolut von 3.847 Dokumenten ist in Papierform nicht mehr beherrschbar. Die elektronische Einreichung via beA ist vorgesehen (dazu Aktenstück 05), aber die interne Nummerierung muss konsistent sein.</w:t>
      </w:r>
    </w:p>
    <w:p/>
    <w:p>
      <w:pPr>
        <w:pStyle w:val="Heading2"/>
      </w:pPr>
      <w:r>
        <w:rPr>
          <w:rFonts w:ascii="Times New Roman" w:hAnsi="Times New Roman"/>
        </w:rPr>
        <w:t>Strukturierungskonzept</w:t>
      </w:r>
    </w:p>
    <w:p>
      <w:pPr>
        <w:pStyle w:val="Heading3"/>
      </w:pPr>
      <w:r>
        <w:rPr>
          <w:rFonts w:ascii="Times New Roman" w:hAnsi="Times New Roman"/>
        </w:rPr>
        <w:t>Stufe 1: Anlagen K1 bis K247 (eigentliche Gerichtsanlagen)</w:t>
      </w:r>
    </w:p>
    <w:p>
      <w:pPr>
        <w:jc w:val="left"/>
      </w:pPr>
      <w:r>
        <w:t>Aus den 3.847 Einzeldokumenten werden 247 Dokumente als Gerichtsanlagen K1–K247 ausgewählt. Diese sind nach Anspruchspositionen gegliedert:</w:t>
      </w:r>
    </w:p>
    <w:p>
      <w:pPr>
        <w:jc w:val="left"/>
      </w:pPr>
      <w:r>
        <w:rPr>
          <w:b/>
        </w:rPr>
        <w:t>Gruppe A: Vertragsgrundlagen (K1–K15)</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K1</w:t>
            </w:r>
          </w:p>
        </w:tc>
        <w:tc>
          <w:tcPr>
            <w:tcW w:type="dxa" w:w="4536"/>
          </w:tcPr>
          <w:p>
            <w:r>
              <w:rPr>
                <w:rFonts w:ascii="Times New Roman" w:hAnsi="Times New Roman"/>
                <w:sz w:val="20"/>
              </w:rPr>
              <w:t>Nachunternehmervertrag vom 12.03.2024 nebst Anlagen</w:t>
            </w:r>
          </w:p>
        </w:tc>
      </w:tr>
      <w:tr>
        <w:tc>
          <w:tcPr>
            <w:tcW w:type="dxa" w:w="4536"/>
          </w:tcPr>
          <w:p>
            <w:r>
              <w:rPr>
                <w:rFonts w:ascii="Times New Roman" w:hAnsi="Times New Roman"/>
                <w:sz w:val="20"/>
              </w:rPr>
              <w:t>K2</w:t>
            </w:r>
          </w:p>
        </w:tc>
        <w:tc>
          <w:tcPr>
            <w:tcW w:type="dxa" w:w="4536"/>
          </w:tcPr>
          <w:p>
            <w:r>
              <w:rPr>
                <w:rFonts w:ascii="Times New Roman" w:hAnsi="Times New Roman"/>
                <w:sz w:val="20"/>
              </w:rPr>
              <w:t>VOB/B 2019 (amtliche Fassung — wird nicht beigefügt, wird als bekannt vorausgesetzt)</w:t>
            </w:r>
          </w:p>
        </w:tc>
      </w:tr>
      <w:tr>
        <w:tc>
          <w:tcPr>
            <w:tcW w:type="dxa" w:w="4536"/>
          </w:tcPr>
          <w:p>
            <w:r>
              <w:rPr>
                <w:rFonts w:ascii="Times New Roman" w:hAnsi="Times New Roman"/>
                <w:sz w:val="20"/>
              </w:rPr>
              <w:t>K3</w:t>
            </w:r>
          </w:p>
        </w:tc>
        <w:tc>
          <w:tcPr>
            <w:tcW w:type="dxa" w:w="4536"/>
          </w:tcPr>
          <w:p>
            <w:r>
              <w:rPr>
                <w:rFonts w:ascii="Times New Roman" w:hAnsi="Times New Roman"/>
                <w:sz w:val="20"/>
              </w:rPr>
              <w:t>Abnahmeprotokoll vom 04.11.2024</w:t>
            </w:r>
          </w:p>
        </w:tc>
      </w:tr>
      <w:tr>
        <w:tc>
          <w:tcPr>
            <w:tcW w:type="dxa" w:w="4536"/>
          </w:tcPr>
          <w:p>
            <w:r>
              <w:rPr>
                <w:rFonts w:ascii="Times New Roman" w:hAnsi="Times New Roman"/>
                <w:sz w:val="20"/>
              </w:rPr>
              <w:t>K4</w:t>
            </w:r>
          </w:p>
        </w:tc>
        <w:tc>
          <w:tcPr>
            <w:tcW w:type="dxa" w:w="4536"/>
          </w:tcPr>
          <w:p>
            <w:r>
              <w:rPr>
                <w:rFonts w:ascii="Times New Roman" w:hAnsi="Times New Roman"/>
                <w:sz w:val="20"/>
              </w:rPr>
              <w:t>Abnahme-Anlageprotokoll (23 Mängel)</w:t>
            </w:r>
          </w:p>
        </w:tc>
      </w:tr>
      <w:tr>
        <w:tc>
          <w:tcPr>
            <w:tcW w:type="dxa" w:w="4536"/>
          </w:tcPr>
          <w:p>
            <w:r>
              <w:rPr>
                <w:rFonts w:ascii="Times New Roman" w:hAnsi="Times New Roman"/>
                <w:sz w:val="20"/>
              </w:rPr>
              <w:t>K5</w:t>
            </w:r>
          </w:p>
        </w:tc>
        <w:tc>
          <w:tcPr>
            <w:tcW w:type="dxa" w:w="4536"/>
          </w:tcPr>
          <w:p>
            <w:r>
              <w:rPr>
                <w:rFonts w:ascii="Times New Roman" w:hAnsi="Times New Roman"/>
                <w:sz w:val="20"/>
              </w:rPr>
              <w:t>Schlussrechnung vom 18.11.2024</w:t>
            </w:r>
          </w:p>
        </w:tc>
      </w:tr>
      <w:tr>
        <w:tc>
          <w:tcPr>
            <w:tcW w:type="dxa" w:w="4536"/>
          </w:tcPr>
          <w:p>
            <w:r>
              <w:rPr>
                <w:rFonts w:ascii="Times New Roman" w:hAnsi="Times New Roman"/>
                <w:sz w:val="20"/>
              </w:rPr>
              <w:t>K6</w:t>
            </w:r>
          </w:p>
        </w:tc>
        <w:tc>
          <w:tcPr>
            <w:tcW w:type="dxa" w:w="4536"/>
          </w:tcPr>
          <w:p>
            <w:r>
              <w:rPr>
                <w:rFonts w:ascii="Times New Roman" w:hAnsi="Times New Roman"/>
                <w:sz w:val="20"/>
              </w:rPr>
              <w:t>Schlussrechnungsprüfbericht K+B vom 08.12.2024</w:t>
            </w:r>
          </w:p>
        </w:tc>
      </w:tr>
      <w:tr>
        <w:tc>
          <w:tcPr>
            <w:tcW w:type="dxa" w:w="4536"/>
          </w:tcPr>
          <w:p>
            <w:r>
              <w:rPr>
                <w:rFonts w:ascii="Times New Roman" w:hAnsi="Times New Roman"/>
                <w:sz w:val="20"/>
              </w:rPr>
              <w:t>K7</w:t>
            </w:r>
          </w:p>
        </w:tc>
        <w:tc>
          <w:tcPr>
            <w:tcW w:type="dxa" w:w="4536"/>
          </w:tcPr>
          <w:p>
            <w:r>
              <w:rPr>
                <w:rFonts w:ascii="Times New Roman" w:hAnsi="Times New Roman"/>
                <w:sz w:val="20"/>
              </w:rPr>
              <w:t>Fristsetzungsschreiben Werkmann vom 10.12.2024</w:t>
            </w:r>
          </w:p>
        </w:tc>
      </w:tr>
      <w:tr>
        <w:tc>
          <w:tcPr>
            <w:tcW w:type="dxa" w:w="4536"/>
          </w:tcPr>
          <w:p>
            <w:r>
              <w:rPr>
                <w:rFonts w:ascii="Times New Roman" w:hAnsi="Times New Roman"/>
                <w:sz w:val="20"/>
              </w:rPr>
              <w:t>K8</w:t>
            </w:r>
          </w:p>
        </w:tc>
        <w:tc>
          <w:tcPr>
            <w:tcW w:type="dxa" w:w="4536"/>
          </w:tcPr>
          <w:p>
            <w:r>
              <w:rPr>
                <w:rFonts w:ascii="Times New Roman" w:hAnsi="Times New Roman"/>
                <w:sz w:val="20"/>
              </w:rPr>
              <w:t>Zahlungsnachweis K+B: 7.990.000 EUR, 20.12.2024</w:t>
            </w:r>
          </w:p>
        </w:tc>
      </w:tr>
      <w:tr>
        <w:tc>
          <w:tcPr>
            <w:tcW w:type="dxa" w:w="4536"/>
          </w:tcPr>
          <w:p>
            <w:r>
              <w:rPr>
                <w:rFonts w:ascii="Times New Roman" w:hAnsi="Times New Roman"/>
                <w:sz w:val="20"/>
              </w:rPr>
              <w:t>K9</w:t>
            </w:r>
          </w:p>
        </w:tc>
        <w:tc>
          <w:tcPr>
            <w:tcW w:type="dxa" w:w="4536"/>
          </w:tcPr>
          <w:p>
            <w:r>
              <w:rPr>
                <w:rFonts w:ascii="Times New Roman" w:hAnsi="Times New Roman"/>
                <w:sz w:val="20"/>
              </w:rPr>
              <w:t>Mahnschreiben Werkmann vom 05.01.2026</w:t>
            </w:r>
          </w:p>
        </w:tc>
      </w:tr>
      <w:tr>
        <w:tc>
          <w:tcPr>
            <w:tcW w:type="dxa" w:w="4536"/>
          </w:tcPr>
          <w:p>
            <w:r>
              <w:rPr>
                <w:rFonts w:ascii="Times New Roman" w:hAnsi="Times New Roman"/>
                <w:sz w:val="20"/>
              </w:rPr>
              <w:t>K10</w:t>
            </w:r>
          </w:p>
        </w:tc>
        <w:tc>
          <w:tcPr>
            <w:tcW w:type="dxa" w:w="4536"/>
          </w:tcPr>
          <w:p>
            <w:r>
              <w:rPr>
                <w:rFonts w:ascii="Times New Roman" w:hAnsi="Times New Roman"/>
                <w:sz w:val="20"/>
              </w:rPr>
              <w:t>Zurückweisungsschreiben K+B vom 09.01.2026</w:t>
            </w:r>
          </w:p>
        </w:tc>
      </w:tr>
      <w:tr>
        <w:tc>
          <w:tcPr>
            <w:tcW w:type="dxa" w:w="4536"/>
          </w:tcPr>
          <w:p>
            <w:r>
              <w:rPr>
                <w:rFonts w:ascii="Times New Roman" w:hAnsi="Times New Roman"/>
                <w:sz w:val="20"/>
              </w:rPr>
              <w:t>K11</w:t>
            </w:r>
          </w:p>
        </w:tc>
        <w:tc>
          <w:tcPr>
            <w:tcW w:type="dxa" w:w="4536"/>
          </w:tcPr>
          <w:p>
            <w:r>
              <w:rPr>
                <w:rFonts w:ascii="Times New Roman" w:hAnsi="Times New Roman"/>
                <w:sz w:val="20"/>
              </w:rPr>
              <w:t>Leistungsverzeichnis (Stand: Vertragsschluss)</w:t>
            </w:r>
          </w:p>
        </w:tc>
      </w:tr>
      <w:tr>
        <w:tc>
          <w:tcPr>
            <w:tcW w:type="dxa" w:w="4536"/>
          </w:tcPr>
          <w:p>
            <w:r>
              <w:rPr>
                <w:rFonts w:ascii="Times New Roman" w:hAnsi="Times New Roman"/>
                <w:sz w:val="20"/>
              </w:rPr>
              <w:t>K12</w:t>
            </w:r>
          </w:p>
        </w:tc>
        <w:tc>
          <w:tcPr>
            <w:tcW w:type="dxa" w:w="4536"/>
          </w:tcPr>
          <w:p>
            <w:r>
              <w:rPr>
                <w:rFonts w:ascii="Times New Roman" w:hAnsi="Times New Roman"/>
                <w:sz w:val="20"/>
              </w:rPr>
              <w:t>Nachtrag 1 — Planänderung Auftraggeber, 15.05.2024</w:t>
            </w:r>
          </w:p>
        </w:tc>
      </w:tr>
      <w:tr>
        <w:tc>
          <w:tcPr>
            <w:tcW w:type="dxa" w:w="4536"/>
          </w:tcPr>
          <w:p>
            <w:r>
              <w:rPr>
                <w:rFonts w:ascii="Times New Roman" w:hAnsi="Times New Roman"/>
                <w:sz w:val="20"/>
              </w:rPr>
              <w:t>K13</w:t>
            </w:r>
          </w:p>
        </w:tc>
        <w:tc>
          <w:tcPr>
            <w:tcW w:type="dxa" w:w="4536"/>
          </w:tcPr>
          <w:p>
            <w:r>
              <w:rPr>
                <w:rFonts w:ascii="Times New Roman" w:hAnsi="Times New Roman"/>
                <w:sz w:val="20"/>
              </w:rPr>
              <w:t>Nachtrag 17 — Mehrmengen Stahlrohre DN200, 22.07.2024</w:t>
            </w:r>
          </w:p>
        </w:tc>
      </w:tr>
      <w:tr>
        <w:tc>
          <w:tcPr>
            <w:tcW w:type="dxa" w:w="4536"/>
          </w:tcPr>
          <w:p>
            <w:r>
              <w:rPr>
                <w:rFonts w:ascii="Times New Roman" w:hAnsi="Times New Roman"/>
                <w:sz w:val="20"/>
              </w:rPr>
              <w:t>K14</w:t>
            </w:r>
          </w:p>
        </w:tc>
        <w:tc>
          <w:tcPr>
            <w:tcW w:type="dxa" w:w="4536"/>
          </w:tcPr>
          <w:p>
            <w:r>
              <w:rPr>
                <w:rFonts w:ascii="Times New Roman" w:hAnsi="Times New Roman"/>
                <w:sz w:val="20"/>
              </w:rPr>
              <w:t>Nachtrag 31 — Zusatzleistung Brandschutzabschottung, 14.08.2024</w:t>
            </w:r>
          </w:p>
        </w:tc>
      </w:tr>
      <w:tr>
        <w:tc>
          <w:tcPr>
            <w:tcW w:type="dxa" w:w="4536"/>
          </w:tcPr>
          <w:p>
            <w:r>
              <w:rPr>
                <w:rFonts w:ascii="Times New Roman" w:hAnsi="Times New Roman"/>
                <w:sz w:val="20"/>
              </w:rPr>
              <w:t>K15</w:t>
            </w:r>
          </w:p>
        </w:tc>
        <w:tc>
          <w:tcPr>
            <w:tcW w:type="dxa" w:w="4536"/>
          </w:tcPr>
          <w:p>
            <w:r>
              <w:rPr>
                <w:rFonts w:ascii="Times New Roman" w:hAnsi="Times New Roman"/>
                <w:sz w:val="20"/>
              </w:rPr>
              <w:t>Nachtrag 47 — Mehrkosten Verzögerung Lieferung Steuerung, 30.09.2024</w:t>
            </w:r>
          </w:p>
        </w:tc>
      </w:tr>
    </w:tbl>
    <w:p>
      <w:pPr>
        <w:jc w:val="left"/>
      </w:pPr>
      <w:r>
        <w:rPr>
          <w:b/>
        </w:rPr>
        <w:t>Gruppe B: Bauausführungsnachweise (K16–K80)</w:t>
      </w:r>
    </w:p>
    <w:p>
      <w:pPr>
        <w:jc w:val="left"/>
      </w:pPr>
      <w:r>
        <w:t>Aufmaßprotokolle (exemplarisch): K16–K45 (30 repräsentative Protokolle)</w:t>
      </w:r>
    </w:p>
    <w:p>
      <w:pPr>
        <w:jc w:val="left"/>
      </w:pPr>
      <w:r>
        <w:t>Bautagebuchauszüge: K46–K65 (Schlüsseldaten)</w:t>
      </w:r>
    </w:p>
    <w:p>
      <w:pPr>
        <w:jc w:val="left"/>
      </w:pPr>
      <w:r>
        <w:t>Schweißnahtprotokolle: K66–K75 (Nachweis ordnungsgemäße Ausführung)</w:t>
      </w:r>
    </w:p>
    <w:p>
      <w:pPr>
        <w:jc w:val="left"/>
      </w:pPr>
      <w:r>
        <w:t>FAT/SAT-Reports: K76–K80 (Abnahmedokumentation)</w:t>
      </w:r>
    </w:p>
    <w:p>
      <w:pPr>
        <w:jc w:val="left"/>
      </w:pPr>
      <w:r>
        <w:rPr>
          <w:b/>
        </w:rPr>
        <w:t>Gruppe C: Liefernachweise und Zollpapiere (K81–K140)</w:t>
      </w:r>
    </w:p>
    <w:p>
      <w:pPr>
        <w:jc w:val="left"/>
      </w:pPr>
      <w:r>
        <w:t>Repräsentative Lieferscheine: K81–K110</w:t>
      </w:r>
    </w:p>
    <w:p>
      <w:pPr>
        <w:jc w:val="left"/>
      </w:pPr>
      <w:r>
        <w:t>Wiegescheine (Stahlmengen): K111–K125</w:t>
      </w:r>
    </w:p>
    <w:p>
      <w:pPr>
        <w:jc w:val="left"/>
      </w:pPr>
      <w:r>
        <w:t>Zollpapiere Italien: K126–K132</w:t>
      </w:r>
    </w:p>
    <w:p>
      <w:pPr>
        <w:jc w:val="left"/>
      </w:pPr>
      <w:r>
        <w:t>Zollpapiere China (Steuerungskomponenten): K133–K140</w:t>
      </w:r>
    </w:p>
    <w:p>
      <w:pPr>
        <w:jc w:val="left"/>
      </w:pPr>
      <w:r>
        <w:rPr>
          <w:b/>
        </w:rPr>
        <w:t>Gruppe D: Konformität und Sicherheit (K141–K180)</w:t>
      </w:r>
    </w:p>
    <w:p>
      <w:pPr>
        <w:jc w:val="left"/>
      </w:pPr>
      <w:r>
        <w:t>Konformitätserklärungen (CE): K141–K165</w:t>
      </w:r>
    </w:p>
    <w:p>
      <w:pPr>
        <w:jc w:val="left"/>
      </w:pPr>
      <w:r>
        <w:t>Sicherheitsdatenblätter (Lacke und Lösungsmittel): K166–K180</w:t>
      </w:r>
    </w:p>
    <w:p>
      <w:pPr>
        <w:jc w:val="left"/>
      </w:pPr>
      <w:r>
        <w:rPr>
          <w:b/>
        </w:rPr>
        <w:t>Gruppe E: Mehrkosten-Nachweise (K181–K247)</w:t>
      </w:r>
    </w:p>
    <w:p>
      <w:pPr>
        <w:jc w:val="left"/>
      </w:pPr>
      <w:r>
        <w:t>Mehrkostenberechnungen je Nachtrag: K181–K227</w:t>
      </w:r>
    </w:p>
    <w:p>
      <w:pPr>
        <w:jc w:val="left"/>
      </w:pPr>
      <w:r>
        <w:t>Korrespondenz zu Nachträgen: K228–K247</w:t>
      </w:r>
    </w:p>
    <w:p>
      <w:pPr>
        <w:pStyle w:val="Heading3"/>
      </w:pPr>
      <w:r>
        <w:rPr>
          <w:rFonts w:ascii="Times New Roman" w:hAnsi="Times New Roman"/>
        </w:rPr>
        <w:t>Stufe 2: Nachlagenkonvolut (NL-1 bis NL-3600)</w:t>
      </w:r>
    </w:p>
    <w:p>
      <w:pPr>
        <w:jc w:val="left"/>
      </w:pPr>
      <w:r>
        <w:t>Die verbleibenden ca. 3.600 Dokumente werden als strukturiertes Nachlagenkonvolut (NL) zusammengestellt. Dieses wird nur bei Bedarf — auf gerichtliche Anforderung oder bei Bestreiten einzelner Positionen durch K+B — einzeln vorgelegt. Das Nachlagenkonvolut wird digital auf einem gesicherten Server hinterlegt; die URL nebst SHA-256-Prüfsumme wird dem Gericht in einer Anlage zur Klageschrift mitgeteilt.</w:t>
      </w:r>
    </w:p>
    <w:p/>
    <w:p>
      <w:pPr>
        <w:pStyle w:val="Heading2"/>
      </w:pPr>
      <w:r>
        <w:rPr>
          <w:rFonts w:ascii="Times New Roman" w:hAnsi="Times New Roman"/>
        </w:rPr>
        <w:t>Anlagenverzeichnis K1–K247</w:t>
      </w:r>
    </w:p>
    <w:p>
      <w:pPr>
        <w:jc w:val="left"/>
      </w:pPr>
      <w:r>
        <w:t xml:space="preserve">Das vollständige Anlagenverzeichnis ist als DOCX-Dokument beigefügt (siehe </w:t>
      </w:r>
      <w:r>
        <w:t>anlagenverzeichnis_lg_aachen_11_o_188_26.docx</w:t>
      </w:r>
      <w:r>
        <w:t>). Es enthält Anlage-Nummer, Datum, Bezeichnung, Seitenzahl und Verknüpfung zur Anspruchsposition.</w:t>
      </w:r>
    </w:p>
    <w:p/>
    <w:p>
      <w:pPr>
        <w:pStyle w:val="Heading2"/>
      </w:pPr>
      <w:r>
        <w:rPr>
          <w:rFonts w:ascii="Times New Roman" w:hAnsi="Times New Roman"/>
        </w:rPr>
        <w:t>Rechtliche Hinweise zur Anlagenstruktur</w:t>
      </w:r>
    </w:p>
    <w:p>
      <w:pPr>
        <w:pStyle w:val="Heading3"/>
      </w:pPr>
      <w:r>
        <w:rPr>
          <w:rFonts w:ascii="Times New Roman" w:hAnsi="Times New Roman"/>
        </w:rPr>
        <w:t>§ 130 ZPO — Formvorschriften</w:t>
      </w:r>
    </w:p>
    <w:p>
      <w:pPr>
        <w:jc w:val="left"/>
      </w:pPr>
      <w:r>
        <w:t>Nach § 130 Nr. 3 ZPO (abrufbar auf dejure.org: https://dejure.org/gesetze/ZPO/130.html) sollen Schriftsätze die Anlagen benennen, auf die sie Bezug nehmen. Die Benennung muss eindeutig sein. Der Bundesgerichtshof hat in ständiger Rechtsprechung betont, dass ungeordnete Anlagenkonvolute die Substantiierungsanforderungen nicht erfüllen (vgl. BGH, Urteil vom 25.02.2016 — VII ZR 49/15, bundesgerichtshof.de).</w:t>
      </w:r>
    </w:p>
    <w:p>
      <w:pPr>
        <w:pStyle w:val="Heading3"/>
      </w:pPr>
      <w:r>
        <w:rPr>
          <w:rFonts w:ascii="Times New Roman" w:hAnsi="Times New Roman"/>
        </w:rPr>
        <w:t>§ 142 ZPO — Urkundenvorlegung</w:t>
      </w:r>
    </w:p>
    <w:p>
      <w:pPr>
        <w:jc w:val="left"/>
      </w:pPr>
      <w:r>
        <w:t>Das Gericht kann nach § 142 ZPO (https://dejure.org/gesetze/ZPO/142.html) die Vorlage von Urkunden anordnen, auf die sich eine Partei bezogen hat. Diese Norm ermöglicht es, das Nachlagenkonvolut zunächst nicht vollständig einzureichen und nur auf Anforderung die NL-Anlagen vorzulegen.</w:t>
      </w:r>
    </w:p>
    <w:p>
      <w:pPr>
        <w:pStyle w:val="Heading3"/>
      </w:pPr>
      <w:r>
        <w:rPr>
          <w:rFonts w:ascii="Times New Roman" w:hAnsi="Times New Roman"/>
        </w:rPr>
        <w:t>§ 286 ZPO — Freie Beweiswürdigung</w:t>
      </w:r>
    </w:p>
    <w:p>
      <w:pPr>
        <w:jc w:val="left"/>
      </w:pPr>
      <w:r>
        <w:t>Die Auswahl der repräsentativen Anlagen (K16–K247) ist so zu treffen, dass das Gericht auch ohne Vorlage aller 3.847 Dokumente die Schlüssigkeit der Klageforderung nachvollziehen kann. Zugleich muss der Zusammenhang zwischen den exemplarisch eingereichten Anlagen und der Gesamtforderung mathematisch und logisch dargestellt werden (Anlagenmatrix, Aktenstück 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