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04 Anlage K17 — Zwischenfall und berufsrechtliche Konsequenzen</w:t>
      </w:r>
    </w:p>
    <w:p>
      <w:pPr>
        <w:jc w:val="left"/>
      </w:pPr>
      <w:r>
        <w:t>Datum: 22. Januar 2026 (Krisennotiz, verfasst 23:14 Uhr)</w:t>
      </w:r>
    </w:p>
    <w:p>
      <w:pPr>
        <w:jc w:val="left"/>
      </w:pPr>
      <w:r>
        <w:t>Bearbeiter: RA Dr. Bertram Söhnchen LL.M.</w:t>
      </w:r>
    </w:p>
    <w:p>
      <w:pPr>
        <w:jc w:val="left"/>
      </w:pPr>
      <w:r>
        <w:t>VERTRAULICH — ANWALTLICHES HANDAKTEN-EXEMPLAR</w:t>
      </w:r>
    </w:p>
    <w:p/>
    <w:p>
      <w:pPr>
        <w:pStyle w:val="Heading2"/>
      </w:pPr>
      <w:r>
        <w:rPr>
          <w:rFonts w:ascii="Times New Roman" w:hAnsi="Times New Roman"/>
        </w:rPr>
        <w:t>Der Vorfall</w:t>
      </w:r>
    </w:p>
    <w:p>
      <w:pPr>
        <w:jc w:val="left"/>
      </w:pPr>
      <w:r>
        <w:t xml:space="preserve">Am Abend des 21.01.2026 — dem Tag der Klageeinreichung beim LG Aachen — meldete sich die Wiss. Mitarbeiterin Stang telefonisch bei Dr. Söhnchen. Bei der abschließenden Qualitätskontrolle der elektronisch übermittelten Klageanlagen hatte sie eine gravierende Unregelmäßigkeit entdeckt: Die als Anlage K17 eingereichte Datei enthielt nicht — wie im Anlagenverzeichnis ausgewiesen — den Nachtrag Nr. 3 (Planänderung Fassadendämmung Eschweiler) vom 19.05.2024, sondern stattdessen einen </w:t>
      </w:r>
      <w:r>
        <w:rPr>
          <w:b/>
        </w:rPr>
        <w:t>BSI-Sicherheitsbericht</w:t>
      </w:r>
      <w:r>
        <w:t xml:space="preserve"> über kritische Infrastrukturkomponenten eines Unternehmens namens </w:t>
      </w:r>
      <w:r>
        <w:rPr>
          <w:b/>
        </w:rPr>
        <w:t>ProTec Anlagensicherheit GmbH</w:t>
      </w:r>
      <w:r>
        <w:t>, Duisburg.</w:t>
      </w:r>
    </w:p>
    <w:p>
      <w:pPr>
        <w:jc w:val="left"/>
      </w:pPr>
      <w:r>
        <w:t xml:space="preserve">Der Bericht trägt den Aufdruck „VERTRAULICH — NUR FÜR INTERNEN GEBRAUCH" und enthält detaillierte Informationen über Sicherheitslücken in industriellen Steuersystemen der ProTec. Der Bericht war offenbar aus einem </w:t>
      </w:r>
      <w:r>
        <w:rPr>
          <w:b/>
        </w:rPr>
        <w:t>früheren, inzwischen abgeschlossenen Mandat</w:t>
      </w:r>
      <w:r>
        <w:t xml:space="preserve"> in das digitale Ablagesystem der Kanzlei gelangt — vermutlich durch eine fehlerhafte Synchronisation des Cloud-Dokumentenmanagements (Näheres dazu nach IT-Prüfung).</w:t>
      </w:r>
    </w:p>
    <w:p/>
    <w:p>
      <w:pPr>
        <w:pStyle w:val="Heading2"/>
      </w:pPr>
      <w:r>
        <w:rPr>
          <w:rFonts w:ascii="Times New Roman" w:hAnsi="Times New Roman"/>
        </w:rPr>
        <w:t>Rechtliche Einordnung</w:t>
      </w:r>
    </w:p>
    <w:p>
      <w:pPr>
        <w:pStyle w:val="Heading3"/>
      </w:pPr>
      <w:r>
        <w:rPr>
          <w:rFonts w:ascii="Times New Roman" w:hAnsi="Times New Roman"/>
        </w:rPr>
        <w:t>§ 43a Abs. 2 BRAO — Verschwiegenheitspflicht</w:t>
      </w:r>
    </w:p>
    <w:p>
      <w:pPr>
        <w:jc w:val="left"/>
      </w:pPr>
      <w:r>
        <w:t>Die versehentliche Übermittlung eines fremden Mandantendokuments an ein Gericht — und damit an eine öffentliche Stelle und an die Gegenseite — stellt einen potenziell schwerwiegenden Verstoß gegen § 43a Abs. 2 BRAO (https://dejure.org/gesetze/BRAO/43a.html) dar. Die Verschwiegenheitspflicht gilt nach der Rechtsprechung der Anwaltsgerichte auch für Dokumente, die irrtümlich oder durch technisches Versagen offenbart werden. Entscheidend ist, ob Dr. Söhnchen das frühere Mandat ProTec angenommen hatte und ob die ProTec GmbH mit der Übermittlung einverstanden ist.</w:t>
      </w:r>
    </w:p>
    <w:p>
      <w:pPr>
        <w:pStyle w:val="Heading3"/>
      </w:pPr>
      <w:r>
        <w:rPr>
          <w:rFonts w:ascii="Times New Roman" w:hAnsi="Times New Roman"/>
        </w:rPr>
        <w:t>Relevanz für das aktuelle Mandat</w:t>
      </w:r>
    </w:p>
    <w:p>
      <w:pPr>
        <w:jc w:val="left"/>
      </w:pPr>
      <w:r>
        <w:t>Die unbeabsichtigte Offenbarung betrifft primär die ProTec GmbH, nicht die Werkmann GmbH. Für das aktuelle Verfahren ist zu klären:</w:t>
      </w:r>
    </w:p>
    <w:p>
      <w:pPr>
        <w:pStyle w:val="ListNumber"/>
      </w:pPr>
      <w:r>
        <w:t>Liegt der Klageschrift tatsächlich die fehlerhafte K17 zugrunde, oder wurde die Datei vor Einreichung korrekt ausgetauscht?</w:t>
      </w:r>
    </w:p>
    <w:p>
      <w:pPr>
        <w:pStyle w:val="ListNumber"/>
      </w:pPr>
      <w:r>
        <w:t>Hat die Geschäftsstelle des LG Aachen die Anlage bereits registriert?</w:t>
      </w:r>
    </w:p>
    <w:p>
      <w:pPr>
        <w:pStyle w:val="ListNumber"/>
      </w:pPr>
      <w:r>
        <w:t>Hat der Gegner (RA Dr. Kessling) die Anlage bereits erhalten?</w:t>
      </w:r>
    </w:p>
    <w:p/>
    <w:p>
      <w:pPr>
        <w:pStyle w:val="Heading2"/>
      </w:pPr>
      <w:r>
        <w:rPr>
          <w:rFonts w:ascii="Times New Roman" w:hAnsi="Times New Roman"/>
        </w:rPr>
        <w:t>Sofortmaßnahmen (protokolliert)</w:t>
      </w:r>
    </w:p>
    <w:p>
      <w:pPr>
        <w:jc w:val="left"/>
      </w:pPr>
      <w:r>
        <w:rPr>
          <w:b/>
        </w:rPr>
        <w:t>21.01.2026, 23:24 Uhr</w:t>
      </w:r>
      <w:r>
        <w:t>: Dr. Söhnchen ruft die Nacht-Hotline der beA-Betreibergesellschaft (Bundesrechtsanwaltskammer) an. Es wird geprüft, ob eine eingereichte Datei zurückgezogen werden kann. Ergebnis: Im beA-System ist nach Eingang beim Gericht kein Zurückziehen möglich. Das Dokument ist im Eingang der Geschäftsstelle registriert.</w:t>
      </w:r>
    </w:p>
    <w:p>
      <w:pPr>
        <w:jc w:val="left"/>
      </w:pPr>
      <w:r>
        <w:rPr>
          <w:b/>
        </w:rPr>
        <w:t>22.01.2026, 08:15 Uhr</w:t>
      </w:r>
      <w:r>
        <w:t>: Telefonische Kontaktaufnahme mit der Geschäftsstelle LG Aachen (Frau Knoops, Zimmer 312). Frau Knoops bestätigt: Die Anlage K17 ist eingegangen und in der vorläufigen Akte vermerkt, wurde aber noch nicht dem Richter vorgelegt. Sie empfiehlt, unverzüglich einen berichtigenden Schriftsatz einzureichen.</w:t>
      </w:r>
    </w:p>
    <w:p>
      <w:pPr>
        <w:jc w:val="left"/>
      </w:pPr>
      <w:r>
        <w:rPr>
          <w:b/>
        </w:rPr>
        <w:t>22.01.2026, 09:00 Uhr</w:t>
      </w:r>
      <w:r>
        <w:t>: Telefonische Information an RA Dr. Kessling (Gegnervertreter), dass die Anlage K17 irrtümlich eingereicht wurde und ein Berichtigungsschriftsatz folgt. Dr. Kessling sagt zu, die irrtümliche Anlage nicht zu nutzen und aus dem beA-Eingang zu löschen. Aktennotiz dazu liegt bei.</w:t>
      </w:r>
    </w:p>
    <w:p>
      <w:pPr>
        <w:jc w:val="left"/>
      </w:pPr>
      <w:r>
        <w:rPr>
          <w:b/>
        </w:rPr>
        <w:t>22.01.2026, 10:00 Uhr</w:t>
      </w:r>
      <w:r>
        <w:t>: Kontaktaufnahme mit Geschäftsführer der ProTec Anlagensicherheit GmbH, Herrn Dipl.-Ing. Gerhard Stölting, Duisburg. Dr. Söhnchen informiert über die irrtümliche Offenbarung und bittet um Stellungnahme. Stölting ist verärgert, erklärt sich jedoch bereit, von einer formellen Rüge abzusehen, sofern eine schriftliche Entschuldigung und Bestätigung der Löschung aller Kopien vorgelegt werden.</w:t>
      </w:r>
    </w:p>
    <w:p>
      <w:pPr>
        <w:jc w:val="left"/>
      </w:pPr>
      <w:r>
        <w:rPr>
          <w:b/>
        </w:rPr>
        <w:t>22.01.2026, 14:00 Uhr</w:t>
      </w:r>
      <w:r>
        <w:t xml:space="preserve">: Einreichung des berichtigenden Schriftsatzes beim LG Aachen (dazu DOCX </w:t>
      </w:r>
      <w:r>
        <w:t>berichtigender_schriftsatz_anlage_k17_brao_par43a.docx</w:t>
      </w:r>
      <w:r>
        <w:t>).</w:t>
      </w:r>
    </w:p>
    <w:p/>
    <w:p>
      <w:pPr>
        <w:pStyle w:val="Heading2"/>
      </w:pPr>
      <w:r>
        <w:rPr>
          <w:rFonts w:ascii="Times New Roman" w:hAnsi="Times New Roman"/>
        </w:rPr>
        <w:t>Berufsrechtliche Selbstprüfung</w:t>
      </w:r>
    </w:p>
    <w:p>
      <w:pPr>
        <w:jc w:val="left"/>
      </w:pPr>
      <w:r>
        <w:t>Dr. Söhnchen hat die folgende Prüfmatrix für die berufsrechtliche Selbstprüfung aufgestellt:</w:t>
      </w:r>
    </w:p>
    <w:tbl>
      <w:tblPr>
        <w:tblStyle w:val="TableGrid"/>
        <w:tblW w:type="auto" w:w="0"/>
        <w:tblLook w:firstColumn="1" w:firstRow="1" w:lastColumn="0" w:lastRow="0" w:noHBand="0" w:noVBand="1" w:val="04A0"/>
      </w:tblPr>
      <w:tblGrid>
        <w:gridCol w:w="4536"/>
        <w:gridCol w:w="4536"/>
      </w:tblGrid>
      <w:tr>
        <w:tc>
          <w:tcPr>
            <w:tcW w:type="dxa" w:w="4536"/>
          </w:tcPr>
          <w:p>
            <w:r>
              <w:rPr>
                <w:rFonts w:ascii="Times New Roman" w:hAnsi="Times New Roman"/>
                <w:b/>
                <w:sz w:val="20"/>
              </w:rPr>
              <w:t>Prüfpunkt</w:t>
            </w:r>
          </w:p>
        </w:tc>
        <w:tc>
          <w:tcPr>
            <w:tcW w:type="dxa" w:w="4536"/>
          </w:tcPr>
          <w:p>
            <w:r>
              <w:rPr>
                <w:rFonts w:ascii="Times New Roman" w:hAnsi="Times New Roman"/>
                <w:b/>
                <w:sz w:val="20"/>
              </w:rPr>
              <w:t>Ergebnis</w:t>
            </w:r>
          </w:p>
        </w:tc>
      </w:tr>
      <w:tr>
        <w:tc>
          <w:tcPr>
            <w:tcW w:type="dxa" w:w="4536"/>
          </w:tcPr>
          <w:p>
            <w:r>
              <w:rPr>
                <w:rFonts w:ascii="Times New Roman" w:hAnsi="Times New Roman"/>
                <w:sz w:val="20"/>
              </w:rPr>
              <w:t>Früheres Mandat ProTec?</w:t>
            </w:r>
          </w:p>
        </w:tc>
        <w:tc>
          <w:tcPr>
            <w:tcW w:type="dxa" w:w="4536"/>
          </w:tcPr>
          <w:p>
            <w:r>
              <w:rPr>
                <w:rFonts w:ascii="Times New Roman" w:hAnsi="Times New Roman"/>
                <w:sz w:val="20"/>
              </w:rPr>
              <w:t>Ja — Mandat PN-2024-019, abgeschlossen 15.11.2024</w:t>
            </w:r>
          </w:p>
        </w:tc>
      </w:tr>
      <w:tr>
        <w:tc>
          <w:tcPr>
            <w:tcW w:type="dxa" w:w="4536"/>
          </w:tcPr>
          <w:p>
            <w:r>
              <w:rPr>
                <w:rFonts w:ascii="Times New Roman" w:hAnsi="Times New Roman"/>
                <w:sz w:val="20"/>
              </w:rPr>
              <w:t>Einwilligung ProTec?</w:t>
            </w:r>
          </w:p>
        </w:tc>
        <w:tc>
          <w:tcPr>
            <w:tcW w:type="dxa" w:w="4536"/>
          </w:tcPr>
          <w:p>
            <w:r>
              <w:rPr>
                <w:rFonts w:ascii="Times New Roman" w:hAnsi="Times New Roman"/>
                <w:sz w:val="20"/>
              </w:rPr>
              <w:t>Nein (noch nicht erteilt); Schadensbegrenzung läuft</w:t>
            </w:r>
          </w:p>
        </w:tc>
      </w:tr>
      <w:tr>
        <w:tc>
          <w:tcPr>
            <w:tcW w:type="dxa" w:w="4536"/>
          </w:tcPr>
          <w:p>
            <w:r>
              <w:rPr>
                <w:rFonts w:ascii="Times New Roman" w:hAnsi="Times New Roman"/>
                <w:sz w:val="20"/>
              </w:rPr>
              <w:t>Kenntnis der Offenbarung subjektiv?</w:t>
            </w:r>
          </w:p>
        </w:tc>
        <w:tc>
          <w:tcPr>
            <w:tcW w:type="dxa" w:w="4536"/>
          </w:tcPr>
          <w:p>
            <w:r>
              <w:rPr>
                <w:rFonts w:ascii="Times New Roman" w:hAnsi="Times New Roman"/>
                <w:sz w:val="20"/>
              </w:rPr>
              <w:t>Nein — irrtümlicher technischer Fehler</w:t>
            </w:r>
          </w:p>
        </w:tc>
      </w:tr>
      <w:tr>
        <w:tc>
          <w:tcPr>
            <w:tcW w:type="dxa" w:w="4536"/>
          </w:tcPr>
          <w:p>
            <w:r>
              <w:rPr>
                <w:rFonts w:ascii="Times New Roman" w:hAnsi="Times New Roman"/>
                <w:sz w:val="20"/>
              </w:rPr>
              <w:t>Anzeigepflicht Rechtsanwaltskammer?</w:t>
            </w:r>
          </w:p>
        </w:tc>
        <w:tc>
          <w:tcPr>
            <w:tcW w:type="dxa" w:w="4536"/>
          </w:tcPr>
          <w:p>
            <w:r>
              <w:rPr>
                <w:rFonts w:ascii="Times New Roman" w:hAnsi="Times New Roman"/>
                <w:sz w:val="20"/>
              </w:rPr>
              <w:t>Wird geprüft; nach § 76 BRAO keine Sofortanzeigepflicht, aber Kammerpräsident Aachen wird telefonisch informiert</w:t>
            </w:r>
          </w:p>
        </w:tc>
      </w:tr>
      <w:tr>
        <w:tc>
          <w:tcPr>
            <w:tcW w:type="dxa" w:w="4536"/>
          </w:tcPr>
          <w:p>
            <w:r>
              <w:rPr>
                <w:rFonts w:ascii="Times New Roman" w:hAnsi="Times New Roman"/>
                <w:sz w:val="20"/>
              </w:rPr>
              <w:t>Haftungsrisiko gegenüber ProTec?</w:t>
            </w:r>
          </w:p>
        </w:tc>
        <w:tc>
          <w:tcPr>
            <w:tcW w:type="dxa" w:w="4536"/>
          </w:tcPr>
          <w:p>
            <w:r>
              <w:rPr>
                <w:rFonts w:ascii="Times New Roman" w:hAnsi="Times New Roman"/>
                <w:sz w:val="20"/>
              </w:rPr>
              <w:t>Möglich: § 280 BGB i.V.m. Mandatsvertrag; Berufshaftpflicht informiert</w:t>
            </w:r>
          </w:p>
        </w:tc>
      </w:tr>
      <w:tr>
        <w:tc>
          <w:tcPr>
            <w:tcW w:type="dxa" w:w="4536"/>
          </w:tcPr>
          <w:p>
            <w:r>
              <w:rPr>
                <w:rFonts w:ascii="Times New Roman" w:hAnsi="Times New Roman"/>
                <w:sz w:val="20"/>
              </w:rPr>
              <w:t>Haftungsrisiko gegenüber Werkmann?</w:t>
            </w:r>
          </w:p>
        </w:tc>
        <w:tc>
          <w:tcPr>
            <w:tcW w:type="dxa" w:w="4536"/>
          </w:tcPr>
          <w:p>
            <w:r>
              <w:rPr>
                <w:rFonts w:ascii="Times New Roman" w:hAnsi="Times New Roman"/>
                <w:sz w:val="20"/>
              </w:rPr>
              <w:t>Gering; Berichtigungsschriftsatz eingereicht, kein Verfahrensschaden bislang</w:t>
            </w:r>
          </w:p>
        </w:tc>
      </w:tr>
    </w:tbl>
    <w:p/>
    <w:p>
      <w:pPr>
        <w:pStyle w:val="Heading2"/>
      </w:pPr>
      <w:r>
        <w:rPr>
          <w:rFonts w:ascii="Times New Roman" w:hAnsi="Times New Roman"/>
        </w:rPr>
        <w:t>Folge für das laufende Verfahren</w:t>
      </w:r>
    </w:p>
    <w:p>
      <w:pPr>
        <w:jc w:val="left"/>
      </w:pPr>
      <w:r>
        <w:t>Der berichtigende Schriftsatz beantragt nach § 139 Abs. 4 ZPO (https://dejure.org/gesetze/ZPO/139.html) die Entgegennahme der korrekten Anlage K17 (Nachtrag Nr. 3 vom 19.05.2024) und die Aussonderung der irrtümlich eingereichten Datei aus der Gerichtsakte. Die korrekte K17 wird dem berichtigenden Schriftsatz beigefügt.</w:t>
      </w:r>
    </w:p>
    <w:p>
      <w:pPr>
        <w:jc w:val="left"/>
      </w:pPr>
      <w:r>
        <w:t>Der Richter VRiLG Dr. Hermanns hat auf telefonische Anfrage mitgeteilt, dass ein solcher Berichtigungsschriftsatz prozessual unproblematisch ist, sofern er unverzüglich eingereicht wird. Die irrtümlich eingereichte Datei wird unter Verschluss genommen und nicht zu den Akten genommen (Vorsitzenderentscheidung, mündlich mitgeteilt 22.01.2026, 13:30 Uhr).</w:t>
      </w:r>
    </w:p>
    <w:p/>
    <w:p>
      <w:pPr>
        <w:pStyle w:val="Heading2"/>
      </w:pPr>
      <w:r>
        <w:rPr>
          <w:rFonts w:ascii="Times New Roman" w:hAnsi="Times New Roman"/>
        </w:rPr>
        <w:t>IT-Analyse (vorläufig)</w:t>
      </w:r>
    </w:p>
    <w:p>
      <w:pPr>
        <w:jc w:val="left"/>
      </w:pPr>
      <w:r>
        <w:t>Das Dokumentenmanagementsystem der Kanzlei (DocuWare, Version 7.8) hatte beim automatischen Tagging der Dateien eine Verwechslung zwischen der internen Mandatsnummer NU-2024-047 (Werkmann) und PN-2024-019 (ProTec) vorgenommen — beide Nummern enden auf ...019/047 und liegen im System nebeneinander. Die DMS-Konfiguration wird angepasst. Hersteller DocuWare wurde informiert.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