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beA-Übertragung und XJustiz-Hash-Probleme</w:t>
      </w:r>
    </w:p>
    <w:p>
      <w:pPr>
        <w:jc w:val="left"/>
      </w:pPr>
      <w:r>
        <w:t>Datum: 21.–24. Januar 2026</w:t>
      </w:r>
    </w:p>
    <w:p>
      <w:pPr>
        <w:jc w:val="left"/>
      </w:pPr>
      <w:r>
        <w:t>Bearbeiter: Wiss. Mitarbeiterin Lea Stang; IT-Beauftragter Kanzlei: Dominik Fleischer</w:t>
      </w:r>
    </w:p>
    <w:p>
      <w:pPr>
        <w:jc w:val="left"/>
      </w:pPr>
      <w:r>
        <w:t>Az.: 11 O 188/26 (LG Aachen)</w:t>
      </w:r>
    </w:p>
    <w:p/>
    <w:p>
      <w:pPr>
        <w:pStyle w:val="Heading2"/>
      </w:pPr>
      <w:r>
        <w:rPr>
          <w:rFonts w:ascii="Times New Roman" w:hAnsi="Times New Roman"/>
        </w:rPr>
        <w:t>Hintergrund: Elektronischer Rechtsverkehr und beA</w:t>
      </w:r>
    </w:p>
    <w:p>
      <w:pPr>
        <w:jc w:val="left"/>
      </w:pPr>
      <w:r>
        <w:t>Seit dem 01.01.2022 sind Rechtsanwälte nach § 130a ZPO (https://dejure.org/gesetze/ZPO/130a.html) i.V.m. der ERVV (Elektronischer-Rechtsverkehr-Verordnung) verpflichtet, Schriftsätze und Anlagen elektronisch beim Gericht einzureichen. Das besondere elektronische Anwaltspostfach (beA) der Bundesrechtsanwaltskammer ist das Pflichtpostfach.</w:t>
      </w:r>
    </w:p>
    <w:p>
      <w:pPr>
        <w:jc w:val="left"/>
      </w:pPr>
      <w:r>
        <w:t>Die Werkmann-Klage wurde am 21.01.2026 um 17:42 Uhr über das beA eingereicht. Das beA-System vergibt für jede Übertragung ein Transferprotokoll mit Zeitstempel und einer XJustiz-konformen Metadatenstruktur.</w:t>
      </w:r>
    </w:p>
    <w:p/>
    <w:p>
      <w:pPr>
        <w:pStyle w:val="Heading2"/>
      </w:pPr>
      <w:r>
        <w:rPr>
          <w:rFonts w:ascii="Times New Roman" w:hAnsi="Times New Roman"/>
        </w:rPr>
        <w:t>Das Hash-Problem</w:t>
      </w:r>
    </w:p>
    <w:p>
      <w:pPr>
        <w:pStyle w:val="Heading3"/>
      </w:pPr>
      <w:r>
        <w:rPr>
          <w:rFonts w:ascii="Times New Roman" w:hAnsi="Times New Roman"/>
        </w:rPr>
        <w:t>XJustiz-Standard Version 3.3.1</w:t>
      </w:r>
    </w:p>
    <w:p>
      <w:pPr>
        <w:jc w:val="left"/>
      </w:pPr>
      <w:r>
        <w:t>Das LG Aachen hat seit dem 01.10.2025 den XJustiz-Standard Version 3.3.1 im Einsatz. Dieser Standard schreibt für die Anlageübertragung unter anderem vor:</w:t>
      </w:r>
    </w:p>
    <w:p>
      <w:pPr>
        <w:pStyle w:val="ListBullet"/>
      </w:pPr>
      <w:r>
        <w:t>Hashalgorithmus: SHA-256 (verpflichtend)</w:t>
      </w:r>
    </w:p>
    <w:p>
      <w:pPr>
        <w:pStyle w:val="ListBullet"/>
      </w:pPr>
      <w:r>
        <w:t xml:space="preserve">Metadatenbeschriftung: Anlagenbezeichnung nach dem Schema </w:t>
      </w:r>
      <w:r>
        <w:t>KL_[Anlage-ID]_[Datum-YYYYMMDD]_[Seitenzahl]</w:t>
      </w:r>
    </w:p>
    <w:p>
      <w:pPr>
        <w:pStyle w:val="ListBullet"/>
      </w:pPr>
      <w:r>
        <w:t>Dateiformat: PDF/A-2b (bevorzugt) oder PDF/A-1b</w:t>
      </w:r>
    </w:p>
    <w:p>
      <w:pPr>
        <w:jc w:val="left"/>
      </w:pPr>
      <w:r>
        <w:t xml:space="preserve">Die Kanzlei-Software (RA-Micro, Version 2025.3) erzeugte die XJustiz-Metadaten automatisch. Bei der Nachprüfung stellte Stang fest, dass für 13 der 247 Anlagen die erzeugten SHA-256-Hashes </w:t>
      </w:r>
      <w:r>
        <w:rPr>
          <w:b/>
        </w:rPr>
        <w:t>nicht mit den Prüfsummen übereinstimmten</w:t>
      </w:r>
      <w:r>
        <w:t>, die die Kanzlei intern beim Erstellen der PDF-Dateien protokolliert hatte.</w:t>
      </w:r>
    </w:p>
    <w:p>
      <w:pPr>
        <w:pStyle w:val="Heading3"/>
      </w:pPr>
      <w:r>
        <w:rPr>
          <w:rFonts w:ascii="Times New Roman" w:hAnsi="Times New Roman"/>
        </w:rPr>
        <w:t>Detailanalyse der Hash-Abweichungen</w:t>
      </w:r>
    </w:p>
    <w:p>
      <w:pPr>
        <w:jc w:val="left"/>
      </w:pPr>
      <w:r>
        <w:t>Stang konnte nach Analyse drei Ursachenkategorien identifizieren:</w:t>
      </w:r>
    </w:p>
    <w:p>
      <w:pPr>
        <w:jc w:val="left"/>
      </w:pPr>
      <w:r>
        <w:rPr>
          <w:b/>
        </w:rPr>
        <w:t>Kategorie 1 (8 Anlagen): PDF/A-Konvertierung</w:t>
      </w:r>
    </w:p>
    <w:p>
      <w:pPr>
        <w:jc w:val="left"/>
      </w:pPr>
      <w:r>
        <w:t xml:space="preserve">RA-Micro konvertierte die ursprünglich als DOCX- oder DWG-Dateien erstellten Anlagen automatisch in PDF/A-2b. Bei dieser Konvertierung werden Metadaten (Erstellungsdatum, Autorname) in die PDF eingebettet, was den Hash verändert. Das ist technisch korrekt — aber die Kanzlei hatte die Hash-Prüfsummen </w:t>
      </w:r>
      <w:r>
        <w:rPr>
          <w:i/>
        </w:rPr>
        <w:t>vor</w:t>
      </w:r>
      <w:r>
        <w:t xml:space="preserve"> der Konvertierung berechnet. Lösung: Hash-Protokollierung erst nach Konvertierung.</w:t>
      </w:r>
    </w:p>
    <w:p>
      <w:pPr>
        <w:jc w:val="left"/>
      </w:pPr>
      <w:r>
        <w:rPr>
          <w:b/>
        </w:rPr>
        <w:t>Kategorie 2 (3 Anlagen): Parallelzugriff</w:t>
      </w:r>
    </w:p>
    <w:p>
      <w:pPr>
        <w:jc w:val="left"/>
      </w:pPr>
      <w:r>
        <w:t>Drei Anlagen wurden von zwei Rechnern gleichzeitig geöffnet und gespeichert (Serverkonflikt im Kanzlei-LAN). Das DMS-System hatte zwei konkurrierende Versionen erstellt; beA übermittelte die ältere Version. Lösung: DMS-Sperrmechanismus aktivieren.</w:t>
      </w:r>
    </w:p>
    <w:p>
      <w:pPr>
        <w:jc w:val="left"/>
      </w:pPr>
      <w:r>
        <w:rPr>
          <w:b/>
        </w:rPr>
        <w:t>Kategorie 3 (2 Anlagen): Anlage K17 und K44</w:t>
      </w:r>
    </w:p>
    <w:p>
      <w:pPr>
        <w:jc w:val="left"/>
      </w:pPr>
      <w:r>
        <w:t>Diese Anlagen hatten Hash-Konflikte, weil Stang nach dem K17-Vorfall (Aktenstück 04) Korrekturdateien unter denselben Dateinamen abgelegt hatte. Die Versionierung war unzureichend. Lösung: Versionshistorie im DMS vollständig aktivieren.</w:t>
      </w:r>
    </w:p>
    <w:p/>
    <w:p>
      <w:pPr>
        <w:pStyle w:val="Heading2"/>
      </w:pPr>
      <w:r>
        <w:rPr>
          <w:rFonts w:ascii="Times New Roman" w:hAnsi="Times New Roman"/>
        </w:rPr>
        <w:t>Konsequenzen und Sofortmaßnahmen</w:t>
      </w:r>
    </w:p>
    <w:p>
      <w:pPr>
        <w:pStyle w:val="Heading3"/>
      </w:pPr>
      <w:r>
        <w:rPr>
          <w:rFonts w:ascii="Times New Roman" w:hAnsi="Times New Roman"/>
        </w:rPr>
        <w:t>Berichtigungsübertragung</w:t>
      </w:r>
    </w:p>
    <w:p>
      <w:pPr>
        <w:jc w:val="left"/>
      </w:pPr>
      <w:r>
        <w:t xml:space="preserve">Am 24.01.2026 wurde eine korrigierte Einreichung für die 13 betroffenen Anlagen über beA vorgenommen. Das LG Aachen (Frau Knoops) bestätigte den Eingang. Das neue Übertragungsprotokoll (SHA-256-Prüfsummen korrekt) ist als redaktiertes Dokument in der Akte abgelegt (vgl. PDF </w:t>
      </w:r>
      <w:r>
        <w:t>bea_uebertragungsprotokoll_xjustiz_redacted.pdf</w:t>
      </w:r>
      <w:r>
        <w:t>).</w:t>
      </w:r>
    </w:p>
    <w:p>
      <w:pPr>
        <w:pStyle w:val="Heading3"/>
      </w:pPr>
      <w:r>
        <w:rPr>
          <w:rFonts w:ascii="Times New Roman" w:hAnsi="Times New Roman"/>
        </w:rPr>
        <w:t>XJustiz-Helpdesk-Kontakt</w:t>
      </w:r>
    </w:p>
    <w:p>
      <w:pPr>
        <w:jc w:val="left"/>
      </w:pPr>
      <w:r>
        <w:t xml:space="preserve">Die Kanzlei nahm Kontakt mit dem XJustiz-Helpdesk auf (E-Mail vom 18.04.2026, vgl. </w:t>
      </w:r>
      <w:r>
        <w:t>2026-04-18_xjustiz_helpdesk_hash_problem.eml</w:t>
      </w:r>
      <w:r>
        <w:t>). Der Helpdesk bestätigte, dass das beschriebene Konvertierungsproblem ein bekannter Fehler in RA-Micro 2025.3 ist und ein Patch (Version 2025.3.1) verfügbar ist. Patch wurde eingespielt.</w:t>
      </w:r>
    </w:p>
    <w:p/>
    <w:p>
      <w:pPr>
        <w:pStyle w:val="Heading2"/>
      </w:pPr>
      <w:r>
        <w:rPr>
          <w:rFonts w:ascii="Times New Roman" w:hAnsi="Times New Roman"/>
        </w:rPr>
        <w:t>Verfahrensrechtliche Relevanz</w:t>
      </w:r>
    </w:p>
    <w:p>
      <w:pPr>
        <w:pStyle w:val="Heading3"/>
      </w:pPr>
      <w:r>
        <w:rPr>
          <w:rFonts w:ascii="Times New Roman" w:hAnsi="Times New Roman"/>
        </w:rPr>
        <w:t>Zustellung und Wirksamkeit</w:t>
      </w:r>
    </w:p>
    <w:p>
      <w:pPr>
        <w:jc w:val="left"/>
      </w:pPr>
      <w:r>
        <w:t>Nach § 130a Abs. 5 ZPO (https://dejure.org/gesetze/ZPO/130a.html) ist ein elektronisches Dokument eingegangen, wenn es auf dem Empfängersystem gespeichert ist. Die Wirksamkeit der Klageeinreichung wird durch Hash-Abweichungen grundsätzlich nicht berührt — Hash-Prüfung ist eine Integritätsprüfung, kein Wirksamkeitsmerkmal. Gleichwohl kann die Gegenseite im Streitfall behaupten, die übermittelte Anlage entspreche nicht dem Original.</w:t>
      </w:r>
    </w:p>
    <w:p>
      <w:pPr>
        <w:pStyle w:val="Heading3"/>
      </w:pPr>
      <w:r>
        <w:rPr>
          <w:rFonts w:ascii="Times New Roman" w:hAnsi="Times New Roman"/>
        </w:rPr>
        <w:t>Gegnerische Rügemöglichkeit</w:t>
      </w:r>
    </w:p>
    <w:p>
      <w:pPr>
        <w:jc w:val="left"/>
      </w:pPr>
      <w:r>
        <w:t>Der Anwalt der Gegenseite (Dr. Kessling) hat in einem telefonischen Gespräch angedeutet, die Authentizität einzelner Anlagen im Verfahren zu rügen (dazu Aktenstück 06). Ein sauberes Hash-Protokoll ist daher nicht nur technische Sorgfalt, sondern prozessrechtlich relevant.</w:t>
      </w:r>
    </w:p>
    <w:p>
      <w:pPr>
        <w:pStyle w:val="Heading3"/>
      </w:pPr>
      <w:r>
        <w:rPr>
          <w:rFonts w:ascii="Times New Roman" w:hAnsi="Times New Roman"/>
        </w:rPr>
        <w:t>Checkliste für künftige Einreichungen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PDF/A-Konvertierung aller Anlagen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Hash-Berechnung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SHA-256-Hash-Berechnung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Konvertierung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 Fleischer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Hash-Protokoll speichern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beA-Upload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DMS-Sperrung aktivieren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 Bearbeitung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Fleischer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Versionierung prüfen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jeder Änderung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Transferprotokoll archivieren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beA-Eingang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Fleischer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Technische Dokumentation</w:t>
      </w:r>
    </w:p>
    <w:p>
      <w:pPr>
        <w:jc w:val="left"/>
      </w:pPr>
      <w:r>
        <w:t>Das vollständige Übertragungsprotokoll (XJustiz-Metadaten, SHA-256-Hashes aller 247 Anlagen) ist als redaktiertes PDF in der Akte hinterlegt. Redaktiert wurden: Kanzlei-interne Netzwerkpfade, Mitarbeiter-IDs und der API-Key des DMS-Systems. Das Original liegt im Kanzlei-Tresor.</w:t>
      </w:r>
    </w:p>
    <w:p>
      <w:pPr>
        <w:jc w:val="left"/>
      </w:pPr>
      <w:r>
        <w:t>Kontakt XJustiz-Koordinierungsstelle: xjustiz@bundesjustizamt.de (https://www.xjustiz.de/)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