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Aufmaßprotokolle — Echtheitsstreit und § 416 ZPO</w:t>
      </w:r>
    </w:p>
    <w:p>
      <w:pPr>
        <w:jc w:val="left"/>
      </w:pPr>
      <w:r>
        <w:t>Datum: 18. März 2026</w:t>
      </w:r>
    </w:p>
    <w:p>
      <w:pPr>
        <w:jc w:val="left"/>
      </w:pPr>
      <w:r>
        <w:t>Bearbeiter: RA Dr. Bertram Söhnchen LL.M.</w:t>
      </w:r>
    </w:p>
    <w:p>
      <w:pPr>
        <w:jc w:val="left"/>
      </w:pPr>
      <w:r>
        <w:t>Az.: 11 O 188/26 (LG Aachen)</w:t>
      </w:r>
    </w:p>
    <w:p/>
    <w:p>
      <w:pPr>
        <w:pStyle w:val="Heading2"/>
      </w:pPr>
      <w:r>
        <w:rPr>
          <w:rFonts w:ascii="Times New Roman" w:hAnsi="Times New Roman"/>
        </w:rPr>
        <w:t>Sachstand</w:t>
      </w:r>
    </w:p>
    <w:p>
      <w:pPr>
        <w:jc w:val="left"/>
      </w:pPr>
      <w:r>
        <w:t>Mit Klageerwiderung vom 14.03.2026 hat RA Dr. Kessling für die Beklagte K+B Industriebau AG die Echtheit von 23 der als Anlage K16–K45 eingereichten Aufmaßprotokolle bestritten. Konkret behauptet K+B:</w:t>
      </w:r>
    </w:p>
    <w:p>
      <w:pPr>
        <w:pStyle w:val="ListNumber"/>
      </w:pPr>
      <w:r>
        <w:t>Die Unterschriften des K+B-Bauleiters Dipl.-Ing. Marc Tellenbach auf den Protokollen K22, K23, K28, K31 und K39 seien gefälscht oder nachträglich aufgebracht worden.</w:t>
      </w:r>
    </w:p>
    <w:p>
      <w:pPr>
        <w:pStyle w:val="ListNumber"/>
      </w:pPr>
      <w:r>
        <w:t>Die Protokolle K16–K20 trügen kein korrektes Datum — das aufgedruckte Datum (jeweils Monatsende) stimme nicht mit den tatsächlichen Begehungsterminen überein (Protokoll sei rückwirkend ausgefüllt worden).</w:t>
      </w:r>
    </w:p>
    <w:p>
      <w:pPr>
        <w:pStyle w:val="ListNumber"/>
      </w:pPr>
      <w:r>
        <w:t>Protokoll K44 enthalte Messpositionen, die am behaupteten Messtag noch nicht zugänglich gewesen seien, weil das Gerüst erst zwei Tage später aufgestellt worden sei.</w:t>
      </w:r>
    </w:p>
    <w:p/>
    <w:p>
      <w:pPr>
        <w:pStyle w:val="Heading2"/>
      </w:pPr>
      <w:r>
        <w:rPr>
          <w:rFonts w:ascii="Times New Roman" w:hAnsi="Times New Roman"/>
        </w:rPr>
        <w:t>Rechtliche Einordnung: § 416 ZPO</w:t>
      </w:r>
    </w:p>
    <w:p>
      <w:pPr>
        <w:jc w:val="left"/>
      </w:pPr>
      <w:r>
        <w:t>Nach § 416 ZPO (https://dejure.org/gesetze/ZPO/416.html) begründen Privaturkunden, die von den Ausstellern unterschrieben sind, vollen Beweis, dass die in ihnen enthaltenen Erklärungen von den Ausstellern abgegeben worden sind. Der Beweis bezieht sich nur auf die Erklärung, nicht auf deren inhaltliche Richtigkeit.</w:t>
      </w:r>
    </w:p>
    <w:p>
      <w:pPr>
        <w:jc w:val="left"/>
      </w:pPr>
      <w:r>
        <w:t>Bestreitet die Gegenseite die Echtheit der Unterschrift (hier: Tellenbach-Unterschriften auf K22, K23, K28, K31, K39), so ist sie nach § 440 ZPO (https://dejure.org/gesetze/ZPO/440.html) darlegungs- und beweisbelastet für die Unechtheit. Das bloße Bestreiten reicht nicht; K+B muss Indizien oder Beweise für die Unechtheit vortragen.</w:t>
      </w:r>
    </w:p>
    <w:p>
      <w:pPr>
        <w:jc w:val="left"/>
      </w:pPr>
      <w:r>
        <w:t>Bezüglich des Inhalts (Datumsangaben, Messpositionen) greift § 416 ZPO nicht — hier verbleibt es bei der freien Beweiswürdigung nach § 286 ZPO.</w:t>
      </w:r>
    </w:p>
    <w:p/>
    <w:p>
      <w:pPr>
        <w:pStyle w:val="Heading2"/>
      </w:pPr>
      <w:r>
        <w:rPr>
          <w:rFonts w:ascii="Times New Roman" w:hAnsi="Times New Roman"/>
        </w:rPr>
        <w:t>Gegenbeweismittel Werkmann</w:t>
      </w:r>
    </w:p>
    <w:p>
      <w:pPr>
        <w:pStyle w:val="Heading3"/>
      </w:pPr>
      <w:r>
        <w:rPr>
          <w:rFonts w:ascii="Times New Roman" w:hAnsi="Times New Roman"/>
        </w:rPr>
        <w:t>Zu den bestrittenen Unterschriften (K22, K23, K28, K31, K39)</w:t>
      </w:r>
    </w:p>
    <w:p>
      <w:pPr>
        <w:jc w:val="left"/>
      </w:pPr>
      <w:r>
        <w:rPr>
          <w:b/>
        </w:rPr>
        <w:t>Schriftgutachten</w:t>
      </w:r>
      <w:r>
        <w:t>: Privatgutachter Dipl.-Ing. Feldkamp hat empfohlen, ein graphologisches Gutachten einzuholen. Dr. Söhnchen hat Dipl.-Psych. Dr. Renate Nolden (öffentlich bestellte Sachverständige für Schriftvergleichung, Bonn) mandatiert. Nolden verlangt für das Vergleichsgutachten: Originalunterschriftsproben von Tellenbach aus anderen unstrittigen Dokumenten sowie digitale Scans der Originalprotokolle. Termin zur Urkundsvorlage: 15.04.2026.</w:t>
      </w:r>
    </w:p>
    <w:p>
      <w:pPr>
        <w:jc w:val="left"/>
      </w:pPr>
      <w:r>
        <w:rPr>
          <w:b/>
        </w:rPr>
        <w:t>Zeugenbeweis</w:t>
      </w:r>
      <w:r>
        <w:t>: Werkmann-Polier Werner Grabowski war bei allen Begehungen dabei und kann die Unterschriften von Tellenbach bestätigen. Eidesstattliche Versicherung Grabowski liegt vor (Anlage K248 — wird nachgereicht).</w:t>
      </w:r>
    </w:p>
    <w:p>
      <w:pPr>
        <w:jc w:val="left"/>
      </w:pPr>
      <w:r>
        <w:rPr>
          <w:b/>
        </w:rPr>
        <w:t>Digitale Metadaten</w:t>
      </w:r>
      <w:r>
        <w:t>: Die Protokolle wurden auf einem Panasonic Toughbook CF-33 vor Ort ausgefüllt (PDF-Formular). Die Toughbook-Dateien enthalten eingebettete Zeitstempel (Erstellungszeitpunkt der PDF) sowie GPS-Koordinaten des Gerätestandorts zum Erstellungszeitpunkt. Diese Metadaten sind abrufbar und belegen, dass die Datei am behaupteten Ort und Datum erstellt wurde.</w:t>
      </w:r>
    </w:p>
    <w:p>
      <w:pPr>
        <w:pStyle w:val="Heading3"/>
      </w:pPr>
      <w:r>
        <w:rPr>
          <w:rFonts w:ascii="Times New Roman" w:hAnsi="Times New Roman"/>
        </w:rPr>
        <w:t>Zu den Datumsbestreitungen (K16–K20)</w:t>
      </w:r>
    </w:p>
    <w:p>
      <w:pPr>
        <w:jc w:val="left"/>
      </w:pPr>
      <w:r>
        <w:t>Das Bautagebuch der Werkmann GmbH (geführt von Polier Grabowski) verzeichnet für jeden Protokolltag eine separate Eintragung. Diese Tagebucheintragungen (Anlage K49–K53) korrespondieren mit den Protokolldaten. Ferner: Der K+B-Bauleiter Tellenbach selbst hat an diesen Tagen Tagesberichte verfasst, die er über die firmeneigene Projektmanagementsoftware (Brainware BIM, Version 4.1) abgelegt hat. Diese Dateien sind bei K+B vorhanden und können nach § 142 ZPO zur Vorlage aufgefordert werden.</w:t>
      </w:r>
    </w:p>
    <w:p>
      <w:pPr>
        <w:pStyle w:val="Heading3"/>
      </w:pPr>
      <w:r>
        <w:rPr>
          <w:rFonts w:ascii="Times New Roman" w:hAnsi="Times New Roman"/>
        </w:rPr>
        <w:t>Zur Messpunkt-Behauptung (K44)</w:t>
      </w:r>
    </w:p>
    <w:p>
      <w:pPr>
        <w:jc w:val="left"/>
      </w:pPr>
      <w:r>
        <w:t>Die Gerüstbaufirma (Gerber Gerüstbau GmbH, Würselen) hat einen Gerüstaufbauplan mit tagesgenauen Aufstelldaten vorgelegt (Anlage K249 — wird nachgereicht). Dieser belegt, dass das Gerüst in dem relevanten Bereich bereits vier Tage vor dem Messprotokoll-Datum aufgestellt war. K+B hat sich dabei auf eine fehlerhafte interne Kalendernotiz gestützt.</w:t>
      </w:r>
    </w:p>
    <w:p/>
    <w:p>
      <w:pPr>
        <w:pStyle w:val="Heading2"/>
      </w:pPr>
      <w:r>
        <w:rPr>
          <w:rFonts w:ascii="Times New Roman" w:hAnsi="Times New Roman"/>
        </w:rPr>
        <w:t>Prozessuale Strategie</w:t>
      </w:r>
    </w:p>
    <w:p>
      <w:pPr>
        <w:jc w:val="left"/>
      </w:pPr>
      <w:r>
        <w:t>Dr. Söhnchen empfiehlt folgende Vorgehensweise:</w:t>
      </w:r>
    </w:p>
    <w:p>
      <w:pPr>
        <w:pStyle w:val="ListNumber"/>
      </w:pPr>
      <w:r>
        <w:rPr>
          <w:b/>
        </w:rPr>
        <w:t>Replik</w:t>
      </w:r>
      <w:r>
        <w:t>: Umfassender Gegenvortrag zu den Echtheitszweifeln, mit Vorlage der digitalen Metadaten, Tagesberichte Grabowski und Gerüstaufbauplan.</w:t>
      </w:r>
    </w:p>
    <w:p>
      <w:pPr>
        <w:pStyle w:val="ListNumber"/>
      </w:pPr>
      <w:r>
        <w:rPr>
          <w:b/>
        </w:rPr>
        <w:t>Antrag auf Parteivernehmung Tellenbach</w:t>
      </w:r>
      <w:r>
        <w:t>: Nach § 447 ZPO kann das Gericht Tellenbach als Parteivertreter des Gegners vernehmen. Tellenbach hat die Protokolle faktisch unterschrieben — wenn K+B die Echtheit bestreitet, ist Tellenbach als Zeuge zu laden (§ 373 ZPO).</w:t>
      </w:r>
    </w:p>
    <w:p>
      <w:pPr>
        <w:pStyle w:val="ListNumber"/>
      </w:pPr>
      <w:r>
        <w:rPr>
          <w:b/>
        </w:rPr>
        <w:t>Antrag auf gerichtliches Schriftgutachten</w:t>
      </w:r>
      <w:r>
        <w:t>: Sollte K+B am Echtheitstreit festhalten, wird beantragt, dem Sachverständigen die Originalprotokolle vorzulegen (§ 144 ZPO). Das Privatgutachten Nolden dient als Anschauungsmaterial.</w:t>
      </w:r>
    </w:p>
    <w:p/>
    <w:p>
      <w:pPr>
        <w:pStyle w:val="Heading2"/>
      </w:pPr>
      <w:r>
        <w:rPr>
          <w:rFonts w:ascii="Times New Roman" w:hAnsi="Times New Roman"/>
        </w:rPr>
        <w:t>Bedeutung für das Anlagenkonvolut</w:t>
      </w:r>
    </w:p>
    <w:p>
      <w:pPr>
        <w:jc w:val="left"/>
      </w:pPr>
      <w:r>
        <w:t xml:space="preserve">Das Aufmaßprotokoll </w:t>
      </w:r>
      <w:r>
        <w:t>aufmassprotokoll_lackieranlage_eschweiler_redacted.pdf</w:t>
      </w:r>
      <w:r>
        <w:t xml:space="preserve"> in der Akte zeigt eine redaktierte Version (Seiten 1–3) des Protokolls K38 (unbestritten) als Muster. Es demonstriert die Formatierung und den Detailgrad der vollständigen Protokollserie. In der tatsächlichen Einreichung werden die Originale (nicht redaktiert) vorgelegt.</w:t>
      </w:r>
    </w:p>
    <w:p>
      <w:pPr>
        <w:jc w:val="left"/>
      </w:pPr>
      <w:r>
        <w:t>Vgl. zum Beweiswert von Privaturkunden: BGH, Urteil vom 05.12.2012 — XII ZR 43/11, openjur.de (https://openjur.de/) — Beweiswert privatschriftlicher Urkunden im Zivilverfahren.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