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08 OLG Berufung 14 U 22/26 — Anlagensynchronisation</w:t>
      </w:r>
    </w:p>
    <w:p>
      <w:pPr>
        <w:jc w:val="left"/>
      </w:pPr>
      <w:r>
        <w:t>Datum: 10. März 2026</w:t>
      </w:r>
    </w:p>
    <w:p>
      <w:pPr>
        <w:jc w:val="left"/>
      </w:pPr>
      <w:r>
        <w:t>Bearbeiter: RA Dr. Bertram Söhnchen LL.M.</w:t>
      </w:r>
    </w:p>
    <w:p>
      <w:pPr>
        <w:jc w:val="left"/>
      </w:pPr>
      <w:r>
        <w:t>Az.: 14 U 22/26 (OLG Köln/Aachen)</w:t>
      </w:r>
    </w:p>
    <w:p/>
    <w:p>
      <w:pPr>
        <w:pStyle w:val="Heading2"/>
      </w:pPr>
      <w:r>
        <w:rPr>
          <w:rFonts w:ascii="Times New Roman" w:hAnsi="Times New Roman"/>
        </w:rPr>
        <w:t>Verfahrenssituation</w:t>
      </w:r>
    </w:p>
    <w:p>
      <w:pPr>
        <w:jc w:val="left"/>
      </w:pPr>
      <w:r>
        <w:t>Das OLG-Berufungsverfahren 14 U 22/26 betrifft eine Teilforderung Werkmanns aus dem Stammverfahren — konkret Verzugsschäden wegen verspäteter Zahlung durch K+B, die das LG Aachen (5 O 244/25) dem Grunde nach anerkannt, der Höhe nach aber auf 290.000 EUR (von beantragten 380.000 EUR) begrenzt hatte. K+B hat wegen der 290.000 EUR Berufung eingelegt; Werkmann hat Anschlussberufung wegen der fehlenden 90.000 EUR eingelegt.</w:t>
      </w:r>
    </w:p>
    <w:p>
      <w:pPr>
        <w:jc w:val="left"/>
      </w:pPr>
      <w:r>
        <w:t>Im OLG-Verfahren gelten andere Anlagenpräfixe: K+B (als Berufungskläger) verwendet BK 1 ff., Werkmann (als Berufungsbeklagter und Anschlussberufungskläger) verwendet BB 1 ff.</w:t>
      </w:r>
    </w:p>
    <w:p/>
    <w:p>
      <w:pPr>
        <w:pStyle w:val="Heading2"/>
      </w:pPr>
      <w:r>
        <w:rPr>
          <w:rFonts w:ascii="Times New Roman" w:hAnsi="Times New Roman"/>
        </w:rPr>
        <w:t>Das Synchronisationsproblem</w:t>
      </w:r>
    </w:p>
    <w:p>
      <w:pPr>
        <w:pStyle w:val="Heading3"/>
      </w:pPr>
      <w:r>
        <w:rPr>
          <w:rFonts w:ascii="Times New Roman" w:hAnsi="Times New Roman"/>
        </w:rPr>
        <w:t>Problem 1: Doppelanlagen unter verschiedenen Bezeichnungen</w:t>
      </w:r>
    </w:p>
    <w:p>
      <w:pPr>
        <w:jc w:val="left"/>
      </w:pPr>
      <w:r>
        <w:t xml:space="preserve">Von den 247 für das LG-Verfahren (11 O 188/26) bestimmten Anlagen tauchen </w:t>
      </w:r>
      <w:r>
        <w:rPr>
          <w:b/>
        </w:rPr>
        <w:t>38 Dokumente</w:t>
      </w:r>
      <w:r>
        <w:t xml:space="preserve"> auch im OLG-Verfahren auf, jedoch unter abweichenden Bezeichnungen: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Dokument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LG-Bezeichnung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OLG-Bezeichnung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Abnahmeprotokoll 04.11.2024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BB 12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Schlussrechnung 18.11.2024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BB 14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Zahlungsnachweis 7,99 Mio.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BB 17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Nachtrag 47 (Verzögerung)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K15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BB 31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Bautagebuch 15.07.2024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K51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BB 22</w:t>
            </w:r>
          </w:p>
        </w:tc>
      </w:tr>
    </w:tbl>
    <w:p>
      <w:pPr>
        <w:jc w:val="left"/>
      </w:pPr>
      <w:r>
        <w:t>Wenn im OLG-Schriftsatz auf ein Dokument Bezug genommen wird, das auch im LG-Verfahren eingereicht ist, darf der Schriftsatz nur die OLG-Anlagenbezeichnung (BB X) verwenden — eine Verwechslung mit K-Nummern wäre ein Formfehler.</w:t>
      </w:r>
    </w:p>
    <w:p>
      <w:pPr>
        <w:pStyle w:val="Heading3"/>
      </w:pPr>
      <w:r>
        <w:rPr>
          <w:rFonts w:ascii="Times New Roman" w:hAnsi="Times New Roman"/>
        </w:rPr>
        <w:t>Problem 2: Unterschiedliche Dokumentversionen</w:t>
      </w:r>
    </w:p>
    <w:p>
      <w:pPr>
        <w:jc w:val="left"/>
      </w:pPr>
      <w:r>
        <w:t>In zwei Fällen liegen tatsächlich unterschiedliche Versionen desselben Dokuments vor: Das Aufmaßprotokoll K38 (LG) entspricht BB 21 (OLG) in der Druckversion 2, während das LG-Dokument die Druckversion 1 enthält. Ursache: Die Version 2 wurde nach dem LG-Verfahren erstellt, um einen Rechenfehler in der Massenermittlung zu korrigieren. Dr. Söhnchen muss im LG-Verfahren nach § 139 ZPO nachbessern (Aktenstück 15).</w:t>
      </w:r>
    </w:p>
    <w:p>
      <w:pPr>
        <w:pStyle w:val="Heading3"/>
      </w:pPr>
      <w:r>
        <w:rPr>
          <w:rFonts w:ascii="Times New Roman" w:hAnsi="Times New Roman"/>
        </w:rPr>
        <w:t>Problem 3: OLG-spezifische Anlagen</w:t>
      </w:r>
    </w:p>
    <w:p>
      <w:pPr>
        <w:jc w:val="left"/>
      </w:pPr>
      <w:r>
        <w:t>Das OLG-Verfahren erfordert zusätzliche Anlagen, die im LG-Verfahren nicht relevant sind, weil sie erst nach der LG-Klage entstanden sind: das erstinstanzliche Urteil (BK 1 / BB 1), der Schriftsatz der Berufungsbegründung (nicht als Anlage, aber als prozessuale Grundlage) und die im Berufungsverfahren neu eingeholten Privatgutachten.</w:t>
      </w:r>
    </w:p>
    <w:p/>
    <w:p>
      <w:pPr>
        <w:pStyle w:val="Heading2"/>
      </w:pPr>
      <w:r>
        <w:rPr>
          <w:rFonts w:ascii="Times New Roman" w:hAnsi="Times New Roman"/>
        </w:rPr>
        <w:t>Anlagensynchronisations-Matrix</w:t>
      </w:r>
    </w:p>
    <w:p>
      <w:pPr>
        <w:jc w:val="left"/>
      </w:pPr>
      <w:r>
        <w:t xml:space="preserve">Zur Lösung des Synchronisationsproblems wurde eine verfahrensübergreifende Master-Anlagenmatrix erstellt (Aktenstück 12, XLSX-Datei </w:t>
      </w:r>
      <w:r>
        <w:t>anlagenmatrix_lg_aachen_3847_einzelanlagen.xlsx</w:t>
      </w:r>
      <w:r>
        <w:t>). Diese Matrix enthält für jedes Dokument:</w:t>
      </w:r>
    </w:p>
    <w:p>
      <w:pPr>
        <w:pStyle w:val="ListBullet"/>
      </w:pPr>
      <w:r>
        <w:t>Interne Dokument-ID (kanzleiübergreifend eindeutig)</w:t>
      </w:r>
    </w:p>
    <w:p>
      <w:pPr>
        <w:pStyle w:val="ListBullet"/>
      </w:pPr>
      <w:r>
        <w:t>LG-Bezeichnung (K-Nummer oder B-Nummer)</w:t>
      </w:r>
    </w:p>
    <w:p>
      <w:pPr>
        <w:pStyle w:val="ListBullet"/>
      </w:pPr>
      <w:r>
        <w:t>OLG-Bezeichnung (BK oder BB Nummer)</w:t>
      </w:r>
    </w:p>
    <w:p>
      <w:pPr>
        <w:pStyle w:val="ListBullet"/>
      </w:pPr>
      <w:r>
        <w:t>DIS-Bezeichnung (S-W oder S-KB Nummer)</w:t>
      </w:r>
    </w:p>
    <w:p>
      <w:pPr>
        <w:pStyle w:val="ListBullet"/>
      </w:pPr>
      <w:r>
        <w:t>Dateiname (aktuelle Version, mit Hash)</w:t>
      </w:r>
    </w:p>
    <w:p>
      <w:pPr>
        <w:pStyle w:val="ListBullet"/>
      </w:pPr>
      <w:r>
        <w:t>Verweis auf Anspruchsposition</w:t>
      </w:r>
    </w:p>
    <w:p>
      <w:pPr>
        <w:jc w:val="left"/>
      </w:pPr>
      <w:r>
        <w:t>Die Matrix ist in allen drei Schriftsatz-Teams geteilt und wird täglich synchronisiert.</w:t>
      </w:r>
    </w:p>
    <w:p/>
    <w:p>
      <w:pPr>
        <w:pStyle w:val="Heading2"/>
      </w:pPr>
      <w:r>
        <w:rPr>
          <w:rFonts w:ascii="Times New Roman" w:hAnsi="Times New Roman"/>
        </w:rPr>
        <w:t>OLG-Berufungsbegründung: Anlagenstrategie</w:t>
      </w:r>
    </w:p>
    <w:p>
      <w:pPr>
        <w:jc w:val="left"/>
      </w:pPr>
      <w:r>
        <w:t>Die Berufungsbegründung (Frist: 15.03.2026, eingereicht fristgerecht) enthält folgende Anlagen:</w:t>
      </w:r>
    </w:p>
    <w:p>
      <w:pPr>
        <w:jc w:val="left"/>
      </w:pPr>
      <w:r>
        <w:rPr>
          <w:b/>
        </w:rPr>
        <w:t>BB 1–BB 5</w:t>
      </w:r>
      <w:r>
        <w:t>: Erstinstanzliche Urteils- und Entscheidungsunterlagen</w:t>
      </w:r>
    </w:p>
    <w:p>
      <w:pPr>
        <w:jc w:val="left"/>
      </w:pPr>
      <w:r>
        <w:rPr>
          <w:b/>
        </w:rPr>
        <w:t>BB 6–BB 20</w:t>
      </w:r>
      <w:r>
        <w:t>: Belege zur Schadenshöhe (neu vorgelegt nach § 531 Abs. 2 ZPO)</w:t>
      </w:r>
    </w:p>
    <w:p>
      <w:pPr>
        <w:jc w:val="left"/>
      </w:pPr>
      <w:r>
        <w:rPr>
          <w:b/>
        </w:rPr>
        <w:t>BB 21–BB 40</w:t>
      </w:r>
      <w:r>
        <w:t>: Dokumente aus dem Bauablauf, die für die OLG-Berufungsfrage unmittelbar relevant sind</w:t>
      </w:r>
    </w:p>
    <w:p>
      <w:pPr>
        <w:jc w:val="left"/>
      </w:pPr>
      <w:r>
        <w:t>Der Senat hat in der Eingangskorrespondenz signalisiert, dass das OLG kein vollständiges Anlagenkonvolut erwartet — da das OLG als Berufungsinstanz die erstinstanzlichen Akten vollständig übernimmt (§ 525 ZPO i.V.m. § 299 ZPO), sind nur die neuen oder streitigen Anlagen vorzulegen.</w:t>
      </w:r>
    </w:p>
    <w:p/>
    <w:p>
      <w:pPr>
        <w:pStyle w:val="Heading2"/>
      </w:pPr>
      <w:r>
        <w:rPr>
          <w:rFonts w:ascii="Times New Roman" w:hAnsi="Times New Roman"/>
        </w:rPr>
        <w:t>Prozessrechtliche Grundlage</w:t>
      </w:r>
    </w:p>
    <w:p>
      <w:pPr>
        <w:pStyle w:val="ListBullet"/>
      </w:pPr>
      <w:r>
        <w:t>§ 520 ZPO (https://dejure.org/gesetze/ZPO/520.html): Berufungsbegründung; Formvorschriften und Fristeinhaltung</w:t>
      </w:r>
    </w:p>
    <w:p>
      <w:pPr>
        <w:pStyle w:val="ListBullet"/>
      </w:pPr>
      <w:r>
        <w:t>§ 531 Abs. 2 ZPO (https://dejure.org/gesetze/ZPO/531.html): Neue Angriffs- und Verteidigungsmittel in der Berufungsinstanz — nur ausnahmsweise zulässig</w:t>
      </w:r>
    </w:p>
    <w:p>
      <w:pPr>
        <w:pStyle w:val="ListBullet"/>
      </w:pPr>
      <w:r>
        <w:t>BGH, Urteil vom 19.03.2004 — V ZR 104/03 (bundesgerichtshof.de): Zur Präklusion neuer Anlagen in der Berufung</w:t>
      </w:r>
    </w:p>
    <w:p>
      <w:pPr>
        <w:jc w:val="left"/>
      </w:pPr>
      <w:r>
        <w:t>Die OLG-Berufungssituation ist prozessrechtlich damit anspruchsvoller als das LG-Verfahren, weil neue Anlagen nur unter den engen Voraussetzungen des § 531 Abs. 2 ZPO eingeführt werden dürfen. Die Kanzlei hat sorgfältig geprüft, ob alle BB-Anlagen bereits in erster Instanz angeboten wurden oder unter eine der Ausnahmen des § 531 Abs. 2 ZPO fallen.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