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09 Zollpapiere Italien und China — Fremdsprachenproblem § 184 GVG</w:t>
      </w:r>
    </w:p>
    <w:p>
      <w:pPr>
        <w:jc w:val="left"/>
      </w:pPr>
      <w:r>
        <w:t>Datum: 25. Februar 2026</w:t>
      </w:r>
    </w:p>
    <w:p>
      <w:pPr>
        <w:jc w:val="left"/>
      </w:pPr>
      <w:r>
        <w:t>Bearbeiter: Wiss. Mitarbeiterin Lea Stang</w:t>
      </w:r>
    </w:p>
    <w:p>
      <w:pPr>
        <w:jc w:val="left"/>
      </w:pPr>
      <w:r>
        <w:t>Az.: 11 O 188/26 (LG Aachen)</w:t>
      </w:r>
    </w:p>
    <w:p/>
    <w:p>
      <w:pPr>
        <w:pStyle w:val="Heading2"/>
      </w:pPr>
      <w:r>
        <w:rPr>
          <w:rFonts w:ascii="Times New Roman" w:hAnsi="Times New Roman"/>
        </w:rPr>
        <w:t>Sachverhalt</w:t>
      </w:r>
    </w:p>
    <w:p>
      <w:pPr>
        <w:jc w:val="left"/>
      </w:pPr>
      <w:r>
        <w:t>Für die Errichtung der Lackieranlage in Eschweiler wurden Anlagenteile aus zwei Drittländern importiert:</w:t>
      </w:r>
    </w:p>
    <w:p>
      <w:pPr>
        <w:pStyle w:val="Heading3"/>
      </w:pPr>
      <w:r>
        <w:rPr>
          <w:rFonts w:ascii="Times New Roman" w:hAnsi="Times New Roman"/>
        </w:rPr>
        <w:t>Lieferungen aus Italien</w:t>
      </w:r>
    </w:p>
    <w:p>
      <w:pPr>
        <w:pStyle w:val="ListBullet"/>
      </w:pPr>
      <w:r>
        <w:rPr>
          <w:b/>
        </w:rPr>
        <w:t>Lieferant</w:t>
      </w:r>
      <w:r>
        <w:t>: Colorificio Industriale Veneto S.r.l., Via dell'Industria 18, 37053 Cerea (VR), Italien</w:t>
      </w:r>
    </w:p>
    <w:p>
      <w:pPr>
        <w:pStyle w:val="ListBullet"/>
      </w:pPr>
      <w:r>
        <w:rPr>
          <w:b/>
        </w:rPr>
        <w:t>Gegenstand</w:t>
      </w:r>
      <w:r>
        <w:t>: Hochdruckpumpen-Aggregate für die KTL-Anlage (kathodische Tauchlackierung), Modell HDP-3800, insgesamt 12 Einheiten</w:t>
      </w:r>
    </w:p>
    <w:p>
      <w:pPr>
        <w:pStyle w:val="ListBullet"/>
      </w:pPr>
      <w:r>
        <w:rPr>
          <w:b/>
        </w:rPr>
        <w:t>Zollanmeldungen</w:t>
      </w:r>
      <w:r>
        <w:t>: 7 Einzelanmeldungen beim Zollamt Aachen-Süd (Begleitende Dokumente: EUR.1-Ursprungszeugnis, CMR-Frachtbriefe, italienische Handelsrechnungen auf Italienisch/Englisch)</w:t>
      </w:r>
    </w:p>
    <w:p>
      <w:pPr>
        <w:pStyle w:val="ListBullet"/>
      </w:pPr>
      <w:r>
        <w:rPr>
          <w:b/>
        </w:rPr>
        <w:t>Wert</w:t>
      </w:r>
      <w:r>
        <w:t>: 540.000 EUR gesamt (laut Handelsrechnungen)</w:t>
      </w:r>
    </w:p>
    <w:p>
      <w:pPr>
        <w:pStyle w:val="Heading3"/>
      </w:pPr>
      <w:r>
        <w:rPr>
          <w:rFonts w:ascii="Times New Roman" w:hAnsi="Times New Roman"/>
        </w:rPr>
        <w:t>Lieferungen aus China</w:t>
      </w:r>
    </w:p>
    <w:p>
      <w:pPr>
        <w:pStyle w:val="ListBullet"/>
      </w:pPr>
      <w:r>
        <w:rPr>
          <w:b/>
        </w:rPr>
        <w:t>Lieferant</w:t>
      </w:r>
      <w:r>
        <w:t>: Shenzhen AutoControl Systems Co. Ltd., No. 88 Keji South Road, Nanshan District, Shenzhen 518057, VR China</w:t>
      </w:r>
    </w:p>
    <w:p>
      <w:pPr>
        <w:pStyle w:val="ListBullet"/>
      </w:pPr>
      <w:r>
        <w:rPr>
          <w:b/>
        </w:rPr>
        <w:t>Gegenstand</w:t>
      </w:r>
      <w:r>
        <w:t>: Steuerungsmodule SPS-Typ AC-7C für die Gesamtsteuerung der Lackieranlage, 24 Einheiten</w:t>
      </w:r>
    </w:p>
    <w:p>
      <w:pPr>
        <w:pStyle w:val="ListBullet"/>
      </w:pPr>
      <w:r>
        <w:rPr>
          <w:b/>
        </w:rPr>
        <w:t>Zollanmeldungen</w:t>
      </w:r>
      <w:r>
        <w:t>: 3 Anmeldungen beim Zollamt Köln (Begleitende Dokumente: Proforma-Rechnung auf Englisch/Chinesisch, Airway Bills, Certificate of Origin Form A)</w:t>
      </w:r>
    </w:p>
    <w:p>
      <w:pPr>
        <w:pStyle w:val="ListBullet"/>
      </w:pPr>
      <w:r>
        <w:rPr>
          <w:b/>
        </w:rPr>
        <w:t>Wert</w:t>
      </w:r>
      <w:r>
        <w:t>: 312.000 EUR (laut Handelsrechnungen)</w:t>
      </w:r>
    </w:p>
    <w:p/>
    <w:p>
      <w:pPr>
        <w:pStyle w:val="Heading2"/>
      </w:pPr>
      <w:r>
        <w:rPr>
          <w:rFonts w:ascii="Times New Roman" w:hAnsi="Times New Roman"/>
        </w:rPr>
        <w:t>Das § 184 GVG-Problem</w:t>
      </w:r>
    </w:p>
    <w:p>
      <w:pPr>
        <w:jc w:val="left"/>
      </w:pPr>
      <w:r>
        <w:t>Nach § 184 GVG (https://dejure.org/gesetze/GVG/184.html) ist die Gerichtssprache Deutsch. Anlagen, die dem Gericht vorgelegt werden und in einer anderen Sprache verfasst sind, sind grundsätzlich mit einer deutschen Übersetzung einzureichen. Ohne Übersetzung kann das Gericht die fremdsprachige Anlage grundsätzlich unberücksichtigt lassen.</w:t>
      </w:r>
    </w:p>
    <w:p>
      <w:pPr>
        <w:jc w:val="left"/>
      </w:pPr>
      <w:r>
        <w:t>Die relevanten Zollpapiere sind in folgenden Sprachen verfasst:</w:t>
      </w:r>
    </w:p>
    <w:p>
      <w:pPr>
        <w:pStyle w:val="ListBullet"/>
      </w:pPr>
      <w:r>
        <w:t>Italienische Handelsrechnungen: Italienisch</w:t>
      </w:r>
    </w:p>
    <w:p>
      <w:pPr>
        <w:pStyle w:val="ListBullet"/>
      </w:pPr>
      <w:r>
        <w:t>Chinesische Rechnungen (Teile der Lieferpapiere): Chinesisch</w:t>
      </w:r>
    </w:p>
    <w:p>
      <w:pPr>
        <w:pStyle w:val="ListBullet"/>
      </w:pPr>
      <w:r>
        <w:t>EUR.1-Zertifikate: zweisprachig Deutsch/Englisch (kein Problem)</w:t>
      </w:r>
    </w:p>
    <w:p>
      <w:pPr>
        <w:pStyle w:val="ListBullet"/>
      </w:pPr>
      <w:r>
        <w:t>CMR-Frachtbriefe: Deutsch/Englisch (kein Problem)</w:t>
      </w:r>
    </w:p>
    <w:p>
      <w:pPr>
        <w:pStyle w:val="ListBullet"/>
      </w:pPr>
      <w:r>
        <w:t>Certificate of Origin Form A: Englisch (zu klären)</w:t>
      </w:r>
    </w:p>
    <w:p/>
    <w:p>
      <w:pPr>
        <w:pStyle w:val="Heading2"/>
      </w:pPr>
      <w:r>
        <w:rPr>
          <w:rFonts w:ascii="Times New Roman" w:hAnsi="Times New Roman"/>
        </w:rPr>
        <w:t>Übersetzungsstrategie</w:t>
      </w:r>
    </w:p>
    <w:p>
      <w:pPr>
        <w:pStyle w:val="Heading3"/>
      </w:pPr>
      <w:r>
        <w:rPr>
          <w:rFonts w:ascii="Times New Roman" w:hAnsi="Times New Roman"/>
        </w:rPr>
        <w:t>Übersetzungen Pflicht vs. Ermessen</w:t>
      </w:r>
    </w:p>
    <w:p>
      <w:pPr>
        <w:jc w:val="left"/>
      </w:pPr>
      <w:r>
        <w:t>Das LG Aachen hat in vergleichbaren Fällen (informeller Hinweis Richter Dr. Hermanns) klargestellt, dass bei rein kommerziellen Belegen (Handelsrechnungen, Lieferscheine) eine einfache, nicht beglaubigte Übersetzung ausreicht, sofern die Gegenseite die inhaltliche Richtigkeit nicht bestreitet. Beglaubigte Übersetzungen (durch einen öffentlich bestellten Übersetzer nach § 189 GVG) sind in der Regel nur erforderlich, wenn die Echtheit oder der Inhalt des Originals streitig ist.</w:t>
      </w:r>
    </w:p>
    <w:p>
      <w:pPr>
        <w:pStyle w:val="Heading3"/>
      </w:pPr>
      <w:r>
        <w:rPr>
          <w:rFonts w:ascii="Times New Roman" w:hAnsi="Times New Roman"/>
        </w:rPr>
        <w:t>Praktische Lösung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Dokument</w:t>
            </w:r>
          </w:p>
        </w:tc>
        <w:tc>
          <w:tcPr>
            <w:tcW w:type="dxa" w:w="3024"/>
          </w:tcPr>
          <w:p>
            <w:r>
              <w:rPr>
                <w:rFonts w:ascii="Times New Roman" w:hAnsi="Times New Roman"/>
                <w:b/>
                <w:sz w:val="20"/>
              </w:rPr>
              <w:t>Sprache</w:t>
            </w:r>
          </w:p>
        </w:tc>
        <w:tc>
          <w:tcPr>
            <w:tcW w:type="dxa" w:w="3024"/>
          </w:tcPr>
          <w:p>
            <w:r>
              <w:rPr>
                <w:rFonts w:ascii="Times New Roman" w:hAnsi="Times New Roman"/>
                <w:b/>
                <w:sz w:val="20"/>
              </w:rPr>
              <w:t>Übersetzungsart</w:t>
            </w:r>
          </w:p>
        </w:tc>
      </w:tr>
      <w:tr>
        <w:tc>
          <w:tcPr>
            <w:tcW w:type="dxa" w:w="3024"/>
          </w:tcPr>
          <w:p>
            <w:r>
              <w:rPr>
                <w:rFonts w:ascii="Times New Roman" w:hAnsi="Times New Roman"/>
                <w:sz w:val="20"/>
              </w:rPr>
              <w:t>Italienische Handelsrechnungen (7 Stück)</w:t>
            </w:r>
          </w:p>
        </w:tc>
        <w:tc>
          <w:tcPr>
            <w:tcW w:type="dxa" w:w="3024"/>
          </w:tcPr>
          <w:p>
            <w:r>
              <w:rPr>
                <w:rFonts w:ascii="Times New Roman" w:hAnsi="Times New Roman"/>
                <w:sz w:val="20"/>
              </w:rPr>
              <w:t>Italienisch</w:t>
            </w:r>
          </w:p>
        </w:tc>
        <w:tc>
          <w:tcPr>
            <w:tcW w:type="dxa" w:w="3024"/>
          </w:tcPr>
          <w:p>
            <w:r>
              <w:rPr>
                <w:rFonts w:ascii="Times New Roman" w:hAnsi="Times New Roman"/>
                <w:sz w:val="20"/>
              </w:rPr>
              <w:t>Einfache Übersetzung (Stang; Kenntnisse B2)</w:t>
            </w:r>
          </w:p>
        </w:tc>
      </w:tr>
      <w:tr>
        <w:tc>
          <w:tcPr>
            <w:tcW w:type="dxa" w:w="3024"/>
          </w:tcPr>
          <w:p>
            <w:r>
              <w:rPr>
                <w:rFonts w:ascii="Times New Roman" w:hAnsi="Times New Roman"/>
                <w:sz w:val="20"/>
              </w:rPr>
              <w:t>Chinesische Rechnungsanteile (3 Stück)</w:t>
            </w:r>
          </w:p>
        </w:tc>
        <w:tc>
          <w:tcPr>
            <w:tcW w:type="dxa" w:w="3024"/>
          </w:tcPr>
          <w:p>
            <w:r>
              <w:rPr>
                <w:rFonts w:ascii="Times New Roman" w:hAnsi="Times New Roman"/>
                <w:sz w:val="20"/>
              </w:rPr>
              <w:t>Chinesisch</w:t>
            </w:r>
          </w:p>
        </w:tc>
        <w:tc>
          <w:tcPr>
            <w:tcW w:type="dxa" w:w="3024"/>
          </w:tcPr>
          <w:p>
            <w:r>
              <w:rPr>
                <w:rFonts w:ascii="Times New Roman" w:hAnsi="Times New Roman"/>
                <w:sz w:val="20"/>
              </w:rPr>
              <w:t>Vereidigt (Übersetzungsbüro Lin &amp; Partner, Köln)</w:t>
            </w:r>
          </w:p>
        </w:tc>
      </w:tr>
      <w:tr>
        <w:tc>
          <w:tcPr>
            <w:tcW w:type="dxa" w:w="3024"/>
          </w:tcPr>
          <w:p>
            <w:r>
              <w:rPr>
                <w:rFonts w:ascii="Times New Roman" w:hAnsi="Times New Roman"/>
                <w:sz w:val="20"/>
              </w:rPr>
              <w:t>Certificate of Origin Form A</w:t>
            </w:r>
          </w:p>
        </w:tc>
        <w:tc>
          <w:tcPr>
            <w:tcW w:type="dxa" w:w="3024"/>
          </w:tcPr>
          <w:p>
            <w:r>
              <w:rPr>
                <w:rFonts w:ascii="Times New Roman" w:hAnsi="Times New Roman"/>
                <w:sz w:val="20"/>
              </w:rPr>
              <w:t>Englisch</w:t>
            </w:r>
          </w:p>
        </w:tc>
        <w:tc>
          <w:tcPr>
            <w:tcW w:type="dxa" w:w="3024"/>
          </w:tcPr>
          <w:p>
            <w:r>
              <w:rPr>
                <w:rFonts w:ascii="Times New Roman" w:hAnsi="Times New Roman"/>
                <w:sz w:val="20"/>
              </w:rPr>
              <w:t>Keine Übersetzung (allgemein bekannte Handelsform)</w:t>
            </w:r>
          </w:p>
        </w:tc>
      </w:tr>
    </w:tbl>
    <w:p>
      <w:pPr>
        <w:jc w:val="left"/>
      </w:pPr>
      <w:r>
        <w:t>Kosten für beglaubigte Übersetzung Chinesisch: ca. 2.400 EUR (3 Dokumente × ca. 800 EUR). Diese Kosten sind als notwendige Verfahrenskosten nach § 91 ZPO erstattungsfähig.</w:t>
      </w:r>
    </w:p>
    <w:p/>
    <w:p>
      <w:pPr>
        <w:pStyle w:val="Heading2"/>
      </w:pPr>
      <w:r>
        <w:rPr>
          <w:rFonts w:ascii="Times New Roman" w:hAnsi="Times New Roman"/>
        </w:rPr>
        <w:t>Darstellung im Anlagenverzeichnis</w:t>
      </w:r>
    </w:p>
    <w:p>
      <w:pPr>
        <w:jc w:val="left"/>
      </w:pPr>
      <w:r>
        <w:t>Im Anlagenverzeichnis (K126–K140) werden die fremdsprachigen Anlagen jeweils doppelt gelistet: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Anlage</w:t>
            </w:r>
          </w:p>
        </w:tc>
        <w:tc>
          <w:tcPr>
            <w:tcW w:type="dxa" w:w="4536"/>
          </w:tcPr>
          <w:p>
            <w:r>
              <w:rPr>
                <w:rFonts w:ascii="Times New Roman" w:hAnsi="Times New Roman"/>
                <w:b/>
                <w:sz w:val="20"/>
              </w:rPr>
              <w:t>Inhalt</w:t>
            </w:r>
          </w:p>
        </w:tc>
      </w:tr>
      <w:tr>
        <w:tc>
          <w:tcPr>
            <w:tcW w:type="dxa" w:w="4536"/>
          </w:tcPr>
          <w:p>
            <w:r>
              <w:rPr>
                <w:rFonts w:ascii="Times New Roman" w:hAnsi="Times New Roman"/>
                <w:sz w:val="20"/>
              </w:rPr>
              <w:t>K126</w:t>
            </w:r>
          </w:p>
        </w:tc>
        <w:tc>
          <w:tcPr>
            <w:tcW w:type="dxa" w:w="4536"/>
          </w:tcPr>
          <w:p>
            <w:r>
              <w:rPr>
                <w:rFonts w:ascii="Times New Roman" w:hAnsi="Times New Roman"/>
                <w:sz w:val="20"/>
              </w:rPr>
              <w:t>Handelsrechnung Colorificio 15.04.2024 (Original Italienisch)</w:t>
            </w:r>
          </w:p>
        </w:tc>
      </w:tr>
      <w:tr>
        <w:tc>
          <w:tcPr>
            <w:tcW w:type="dxa" w:w="4536"/>
          </w:tcPr>
          <w:p>
            <w:r>
              <w:rPr>
                <w:rFonts w:ascii="Times New Roman" w:hAnsi="Times New Roman"/>
                <w:sz w:val="20"/>
              </w:rPr>
              <w:t>K126a</w:t>
            </w:r>
          </w:p>
        </w:tc>
        <w:tc>
          <w:tcPr>
            <w:tcW w:type="dxa" w:w="4536"/>
          </w:tcPr>
          <w:p>
            <w:r>
              <w:rPr>
                <w:rFonts w:ascii="Times New Roman" w:hAnsi="Times New Roman"/>
                <w:sz w:val="20"/>
              </w:rPr>
              <w:t>Übersetzung K126 (Deutsch, einfach, Stang)</w:t>
            </w:r>
          </w:p>
        </w:tc>
      </w:tr>
      <w:tr>
        <w:tc>
          <w:tcPr>
            <w:tcW w:type="dxa" w:w="4536"/>
          </w:tcPr>
          <w:p>
            <w:r>
              <w:rPr>
                <w:rFonts w:ascii="Times New Roman" w:hAnsi="Times New Roman"/>
                <w:sz w:val="20"/>
              </w:rPr>
              <w:t>K133</w:t>
            </w:r>
          </w:p>
        </w:tc>
        <w:tc>
          <w:tcPr>
            <w:tcW w:type="dxa" w:w="4536"/>
          </w:tcPr>
          <w:p>
            <w:r>
              <w:rPr>
                <w:rFonts w:ascii="Times New Roman" w:hAnsi="Times New Roman"/>
                <w:sz w:val="20"/>
              </w:rPr>
              <w:t>Proforma-Rechnung Shenzhen AutoControl 22.06.2024 (Original Englisch/Chinesisch)</w:t>
            </w:r>
          </w:p>
        </w:tc>
      </w:tr>
      <w:tr>
        <w:tc>
          <w:tcPr>
            <w:tcW w:type="dxa" w:w="4536"/>
          </w:tcPr>
          <w:p>
            <w:r>
              <w:rPr>
                <w:rFonts w:ascii="Times New Roman" w:hAnsi="Times New Roman"/>
                <w:sz w:val="20"/>
              </w:rPr>
              <w:t>K133a</w:t>
            </w:r>
          </w:p>
        </w:tc>
        <w:tc>
          <w:tcPr>
            <w:tcW w:type="dxa" w:w="4536"/>
          </w:tcPr>
          <w:p>
            <w:r>
              <w:rPr>
                <w:rFonts w:ascii="Times New Roman" w:hAnsi="Times New Roman"/>
                <w:sz w:val="20"/>
              </w:rPr>
              <w:t>Übersetzung K133 (Deutsch, beglaubigt, Lin &amp; Partner)</w:t>
            </w:r>
          </w:p>
        </w:tc>
      </w:tr>
    </w:tbl>
    <w:p>
      <w:pPr>
        <w:jc w:val="left"/>
      </w:pPr>
      <w:r>
        <w:t>Diese Doppellistung (Original + Übersetzung als „a"-Anlage) entspricht der in der Praxis des LG Aachen eingeführten Gepflogenheit und wurde mit Frau Knoops (Geschäftsstelle) abgestimmt.</w:t>
      </w:r>
    </w:p>
    <w:p/>
    <w:p>
      <w:pPr>
        <w:pStyle w:val="Heading2"/>
      </w:pPr>
      <w:r>
        <w:rPr>
          <w:rFonts w:ascii="Times New Roman" w:hAnsi="Times New Roman"/>
        </w:rPr>
        <w:t>Schiedsgerichts-Besonderheiten</w:t>
      </w:r>
    </w:p>
    <w:p>
      <w:pPr>
        <w:jc w:val="left"/>
      </w:pPr>
      <w:r>
        <w:t>Das DIS-Schiedsgericht hat in Verfahrensanordnung Nr. 3 klargestellt, dass für das Schiedsverfahren englische Originalfassungen ausreichen, sofern alle Parteien dem Einsatz der englischen Sprache zugestimmt haben. Da Prof. Dr. Schwartze und K+B-Anwalt Dr. Kessling dem zugestimmt haben, können für das DIS-Verfahren die englischen Fassungen der Certificate of Origin und der englischsprachigen Teile der chinesischen Rechnungen ohne Übersetzung eingereicht werden. Für die DIS-Einreichung entfallen damit ca. 1.600 EUR Übersetzungskosten.</w:t>
      </w:r>
    </w:p>
    <w:p/>
    <w:p>
      <w:pPr>
        <w:pStyle w:val="Heading2"/>
      </w:pPr>
      <w:r>
        <w:rPr>
          <w:rFonts w:ascii="Times New Roman" w:hAnsi="Times New Roman"/>
        </w:rPr>
        <w:t>Hinweis OLG</w:t>
      </w:r>
    </w:p>
    <w:p>
      <w:pPr>
        <w:jc w:val="left"/>
      </w:pPr>
      <w:r>
        <w:t>Für das OLG-Berufungsverfahren gelten dieselben § 184 GVG-Grundsätze. Da die Zollpapiere im OLG-Verfahren als BB 28–BB 34 eingereicht werden, wird auf die für das LG gefertigten Übersetzungen verwiesen — es werden keine neuen Übersetzungen benötigt.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