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10 Konformitätserklärungen, CE-Kennzeichnung und Maschinenrichtlinie</w:t>
      </w:r>
    </w:p>
    <w:p>
      <w:pPr>
        <w:jc w:val="left"/>
      </w:pPr>
      <w:r>
        <w:t>Datum: 5. Februar 2026</w:t>
      </w:r>
    </w:p>
    <w:p>
      <w:pPr>
        <w:jc w:val="left"/>
      </w:pPr>
      <w:r>
        <w:t>Bearbeiter: RA Dr. Bertram Söhnchen LL.M.; technische Zuarbeit Dipl.-Ing. Hofferberth</w:t>
      </w:r>
    </w:p>
    <w:p>
      <w:pPr>
        <w:jc w:val="left"/>
      </w:pPr>
      <w:r>
        <w:t>Az.: 11 O 188/26 (LG Aachen)</w:t>
      </w:r>
    </w:p>
    <w:p/>
    <w:p>
      <w:pPr>
        <w:pStyle w:val="Heading2"/>
      </w:pPr>
      <w:r>
        <w:rPr>
          <w:rFonts w:ascii="Times New Roman" w:hAnsi="Times New Roman"/>
        </w:rPr>
        <w:t>Hintergrund</w:t>
      </w:r>
    </w:p>
    <w:p>
      <w:pPr>
        <w:jc w:val="left"/>
      </w:pPr>
      <w:r>
        <w:t>Die errichtete Lackieranlage in Eschweiler ist eine technische Gesamtanlage, die aus zahlreichen Maschinen und Subsystemen besteht, für die jeweils Konformitätserklärungen (CE-Kennzeichnung) nach der Maschinenrichtlinie 2006/42/EG bzw. — soweit seit dem 14.01.2027 anwendbar — nach der neuen Maschinenverordnung (EU) 2023/1230 vorzulegen sind.</w:t>
      </w:r>
    </w:p>
    <w:p>
      <w:pPr>
        <w:jc w:val="left"/>
      </w:pPr>
      <w:r>
        <w:t>Die K+B AG hatte in einem Schreiben vom 15.12.2024 angedeutet, dass einzelne Anlagenteile keine gültigen CE-Kennzeichnungen besäßen und dies eine Teilabnahme-Verweigerung rechtfertige. Werkmann bestreitet dies.</w:t>
      </w:r>
    </w:p>
    <w:p/>
    <w:p>
      <w:pPr>
        <w:pStyle w:val="Heading2"/>
      </w:pPr>
      <w:r>
        <w:rPr>
          <w:rFonts w:ascii="Times New Roman" w:hAnsi="Times New Roman"/>
        </w:rPr>
        <w:t>Inventar der Konformitätserklärungen</w:t>
      </w:r>
    </w:p>
    <w:p>
      <w:pPr>
        <w:jc w:val="left"/>
      </w:pPr>
      <w:r>
        <w:t>Die Werkmann GmbH hat insgesamt 83 Konformitätserklärungen vorgelegt (Anlagen K141–K165 sind eine Auswahl der wichtigsten; die weiteren 18 sind im Nachlagenkonvolut NL-0841 bis NL-0858 hinterlegt). Die Erklärungen gliedern sich: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Kategorie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Anzahl gesamt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Als K-Anlage eingereicht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Hochdruckpumpen (Colorificio, Italien)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 (K141–K152)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Steuerungsmodule AC-7C (Shenzhen)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 (K153–K160)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Fördertechnik (Binzel GmbH, Aachen)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 (K161–K165)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Lüftungsanlage (Stork Air GmbH)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18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 (NL-0841–0858)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Schweißgeräte (Lincoln Electric)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 (NL-Konvolut)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Sonstige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 (NL-Konvolut)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Maschinenrichtlinie und Konformitätsanforderungen</w:t>
      </w:r>
    </w:p>
    <w:p>
      <w:pPr>
        <w:pStyle w:val="Heading3"/>
      </w:pPr>
      <w:r>
        <w:rPr>
          <w:rFonts w:ascii="Times New Roman" w:hAnsi="Times New Roman"/>
        </w:rPr>
        <w:t>Maschinenrichtlinie 2006/42/EG</w:t>
      </w:r>
    </w:p>
    <w:p>
      <w:pPr>
        <w:jc w:val="left"/>
      </w:pPr>
      <w:r>
        <w:t>Nach Anhang II A der Maschinenrichtlinie 2006/42/EG muss jede Maschine mit einer EG-Konformitätserklärung geliefert werden. Diese muss enthalten:</w:t>
      </w:r>
    </w:p>
    <w:p>
      <w:pPr>
        <w:pStyle w:val="ListBullet"/>
      </w:pPr>
      <w:r>
        <w:t>Firma und vollständige Anschrift des Herstellers</w:t>
      </w:r>
    </w:p>
    <w:p>
      <w:pPr>
        <w:pStyle w:val="ListBullet"/>
      </w:pPr>
      <w:r>
        <w:t>Bezeichnung und Seriennummer der Maschine</w:t>
      </w:r>
    </w:p>
    <w:p>
      <w:pPr>
        <w:pStyle w:val="ListBullet"/>
      </w:pPr>
      <w:r>
        <w:t>Alle einschlägigen Richtlinien und Normen</w:t>
      </w:r>
    </w:p>
    <w:p>
      <w:pPr>
        <w:pStyle w:val="ListBullet"/>
      </w:pPr>
      <w:r>
        <w:t>Name der bevollmächtigten Person zur Zusammenstellung der technischen Unterlagen</w:t>
      </w:r>
    </w:p>
    <w:p>
      <w:pPr>
        <w:pStyle w:val="ListBullet"/>
      </w:pPr>
      <w:r>
        <w:t>Ort und Datum, rechtsverbindliche Unterschrift</w:t>
      </w:r>
    </w:p>
    <w:p>
      <w:pPr>
        <w:pStyle w:val="Heading3"/>
      </w:pPr>
      <w:r>
        <w:rPr>
          <w:rFonts w:ascii="Times New Roman" w:hAnsi="Times New Roman"/>
        </w:rPr>
        <w:t>Besonderheit: Gesamtmaschine (Anlage K141–K165 als Teilkomponenten)</w:t>
      </w:r>
    </w:p>
    <w:p>
      <w:pPr>
        <w:jc w:val="left"/>
      </w:pPr>
      <w:r>
        <w:t xml:space="preserve">Die Lackieranlage Eschweiler ist eine </w:t>
      </w:r>
      <w:r>
        <w:rPr>
          <w:b/>
        </w:rPr>
        <w:t>unvollständige Maschine</w:t>
      </w:r>
      <w:r>
        <w:t xml:space="preserve"> i.S.v. Art. 2 lit. g) der Maschinenrichtlinie, die erst als Teil einer Gesamtanlage vollständig ist. Für solche Komponenten ist nach Anhang II B der Maschinenrichtlinie eine </w:t>
      </w:r>
      <w:r>
        <w:rPr>
          <w:b/>
        </w:rPr>
        <w:t>Einbauerklärung</w:t>
      </w:r>
      <w:r>
        <w:t xml:space="preserve"> (statt EG-Konformitätserklärung) ausreichend. Die Gesamtanlage erhält dann eine einzige CE-Kennzeichnung, die vom Anlagen-Systemintegrator — hier: Werkmann GmbH als Errichter des Gesamtsystems — ausgestellt wird.</w:t>
      </w:r>
    </w:p>
    <w:p>
      <w:pPr>
        <w:jc w:val="left"/>
      </w:pPr>
      <w:r>
        <w:t xml:space="preserve">Die Gesamtanlagen-Konformitätserklärung Werkmann (datiert 03.11.2024, ausgestellt einen Tag vor der Abnahme) ist als Anlage </w:t>
      </w:r>
      <w:r>
        <w:rPr>
          <w:b/>
        </w:rPr>
        <w:t>K141</w:t>
      </w:r>
      <w:r>
        <w:t xml:space="preserve"> das erste und wichtigste Dokument dieser Gruppe. K+B bestreitet, dass die Gesamtanlage ordnungsgemäß CE-zertifiziert sei — ein Argument, das technisch unbegründet ist, wie der Privatgutachter Feldkamp bestätigt.</w:t>
      </w:r>
    </w:p>
    <w:p/>
    <w:p>
      <w:pPr>
        <w:pStyle w:val="Heading2"/>
      </w:pPr>
      <w:r>
        <w:rPr>
          <w:rFonts w:ascii="Times New Roman" w:hAnsi="Times New Roman"/>
        </w:rPr>
        <w:t>Prozessuale Strategie</w:t>
      </w:r>
    </w:p>
    <w:p>
      <w:pPr>
        <w:jc w:val="left"/>
      </w:pPr>
      <w:r>
        <w:t>K+B argumentiert, fehlende oder fehlerhafte CE-Dokumentation begründe einen Mangel der Werkleistung (§ 633 BGB; https://dejure.org/gesetze/BGB/633.html) und berechtige zur Minderung bzw. zur Verweigerung des ausstehenden Werklohns. Diese Auffassung ist rechtlich angreifbar:</w:t>
      </w:r>
    </w:p>
    <w:p>
      <w:pPr>
        <w:pStyle w:val="ListNumber"/>
      </w:pPr>
      <w:r>
        <w:rPr>
          <w:b/>
        </w:rPr>
        <w:t>Abnahme trotz Mängelrüge</w:t>
      </w:r>
      <w:r>
        <w:t>: Die förmliche Abnahme am 04.11.2024 erfolgte trotz Kenntnis etwaiger Mängel. Nach § 640 Abs. 3 BGB (https://dejure.org/gesetze/BGB/640.html) verliert der Besteller mit der Abnahme — sofern er den Mangel kannte — seine Mängelrechte hinsichtlich dieses Mangels, wenn er sich diese nicht ausdrücklich vorbehalten hat. Im Abnahmeprotokoll (K3) ist kein Vorbehalt wegen CE-Dokumentation vermerkt.</w:t>
      </w:r>
    </w:p>
    <w:p>
      <w:pPr>
        <w:pStyle w:val="ListNumber"/>
      </w:pPr>
      <w:r>
        <w:rPr>
          <w:b/>
        </w:rPr>
        <w:t>CE-Dokumentation als Anhang, nicht als Werkleistung</w:t>
      </w:r>
      <w:r>
        <w:t>: Die Lieferung der Konformitätserklärungen ist eine Nebenpflicht, deren Verletzung nicht ohne weiteres zur Minderung des gesamten Werklohns berechtigt (BGH, Urteil vom 27.11.2003 — VII ZR 288/02; bundesgerichtshof.de).</w:t>
      </w:r>
    </w:p>
    <w:p>
      <w:pPr>
        <w:pStyle w:val="ListNumber"/>
      </w:pPr>
      <w:r>
        <w:rPr>
          <w:b/>
        </w:rPr>
        <w:t>Vollständigkeit der Dokumentation</w:t>
      </w:r>
      <w:r>
        <w:t>: Alle 83 Konformitätserklärungen liegen vor. K+B hat keinen einzigen konkreten Mangel benannt, sondern lediglich pauschal bestritten.</w:t>
      </w:r>
    </w:p>
    <w:p/>
    <w:p>
      <w:pPr>
        <w:pStyle w:val="Heading2"/>
      </w:pPr>
      <w:r>
        <w:rPr>
          <w:rFonts w:ascii="Times New Roman" w:hAnsi="Times New Roman"/>
        </w:rPr>
        <w:t>Einreichungslogistik</w:t>
      </w:r>
    </w:p>
    <w:p>
      <w:pPr>
        <w:jc w:val="left"/>
      </w:pPr>
      <w:r>
        <w:t>Die 83 Konformitätserklärungen (z.T. mehrseitig) umfassen zusammen ca. 340 Seiten. Als PDF/A-2b-Dateien komprimiert ergeben sie ca. 28 MB. Die 25 als K-Anlagen K141–K165 einzureichenden Erklärungen werden als Einzel-PDFs hochgeladen; die übrigen 58 werden als NL-Sammeldatei hinterlegt.</w:t>
      </w:r>
    </w:p>
    <w:p>
      <w:pPr>
        <w:jc w:val="left"/>
      </w:pPr>
      <w:r>
        <w:t>Hinweis: Die Konformitätserklärungen der Shenzhen AutoControl (Anlagen K153–K160) sind in Englisch verfasst und enthalten maschinenübersetzte Chinesisch-Passagen in den Technischen Anhängen. Da § 184 GVG hier gilt, wurden die englischsprachigen Haupttexte ohne Übersetzung eingereicht (allgemein handelsübliche Sprache); die chinesischsprachigen Anhänge wurden von Lin &amp; Partner beglaubigt übersetzt (in der Anlage K153a als Einzel-PDF, vgl. Aktenstück 09).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