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Anlagenmatrix und Indexerstellung — Methodik</w:t>
      </w:r>
    </w:p>
    <w:p>
      <w:pPr>
        <w:jc w:val="left"/>
      </w:pPr>
      <w:r>
        <w:t>Datum: 18. Januar 2026 (fortlaufend aktualisiert)</w:t>
      </w:r>
    </w:p>
    <w:p>
      <w:pPr>
        <w:jc w:val="left"/>
      </w:pPr>
      <w:r>
        <w:t>Bearbeiter: Lea Stang; Qualitätskontrolle RA Dr. Söhnchen</w:t>
      </w:r>
    </w:p>
    <w:p>
      <w:pPr>
        <w:jc w:val="left"/>
      </w:pPr>
      <w:r>
        <w:t>Az.: 11 O 188/26, 14 U 22/26, DIS-SV-2026/088</w:t>
      </w:r>
    </w:p>
    <w:p/>
    <w:p>
      <w:pPr>
        <w:pStyle w:val="Heading2"/>
      </w:pPr>
      <w:r>
        <w:rPr>
          <w:rFonts w:ascii="Times New Roman" w:hAnsi="Times New Roman"/>
        </w:rPr>
        <w:t>Zweck der Anlagenmatrix</w:t>
      </w:r>
    </w:p>
    <w:p>
      <w:pPr>
        <w:jc w:val="left"/>
      </w:pPr>
      <w:r>
        <w:t>Bei drei parallelen Verfahren mit zusammen 247 + 40 + 247 = 534 Gerichtsanlagen (Überschneidungen eingerechnet) und einem Nachlagenkonvolut von 3.600 Dokumenten ist ein strukturiertes Verzeichnis unabdingbar. Die Anlagenmatrix erfüllt mehrere Funktionen:</w:t>
      </w:r>
    </w:p>
    <w:p>
      <w:pPr>
        <w:pStyle w:val="ListNumber"/>
      </w:pPr>
      <w:r>
        <w:rPr>
          <w:b/>
        </w:rPr>
        <w:t>Eindeutige Identifikation</w:t>
      </w:r>
      <w:r>
        <w:t>: Jedes Dokument erhält eine kanzleiinterne Dokument-ID (Format: WBT-DOK-YYYYNNN, z.B. WBT-DOK-2024001), die unabhängig von der verfahrensspezifischen Anlagebezeichnung ist.</w:t>
      </w:r>
    </w:p>
    <w:p>
      <w:pPr>
        <w:pStyle w:val="ListNumber"/>
      </w:pPr>
      <w:r>
        <w:rPr>
          <w:b/>
        </w:rPr>
        <w:t>Verfahrensübergreifende Zuordnung</w:t>
      </w:r>
      <w:r>
        <w:t>: Die Matrix zeigt für jedes Dokument, unter welcher Anlagebezeichnung es in welchem Verfahren einzureichen ist (oder bereits eingereicht wurde).</w:t>
      </w:r>
    </w:p>
    <w:p>
      <w:pPr>
        <w:pStyle w:val="ListNumber"/>
      </w:pPr>
      <w:r>
        <w:rPr>
          <w:b/>
        </w:rPr>
        <w:t>Versionsmanagement</w:t>
      </w:r>
      <w:r>
        <w:t>: Jede Datei ist mit ihrer SHA-256-Prüfsumme und der Versionsnummer hinterlegt.</w:t>
      </w:r>
    </w:p>
    <w:p>
      <w:pPr>
        <w:pStyle w:val="ListNumber"/>
      </w:pPr>
      <w:r>
        <w:rPr>
          <w:b/>
        </w:rPr>
        <w:t>Anspruchszuordnung</w:t>
      </w:r>
      <w:r>
        <w:t>: Jedes Dokument ist mindestens einer Anspruchsposition (§ 631 BGB, § 2 Abs. 3 VOB/B oder § 8 Abs. 2 VOB/B) zugeordnet.</w:t>
      </w:r>
    </w:p>
    <w:p/>
    <w:p>
      <w:pPr>
        <w:pStyle w:val="Heading2"/>
      </w:pPr>
      <w:r>
        <w:rPr>
          <w:rFonts w:ascii="Times New Roman" w:hAnsi="Times New Roman"/>
        </w:rPr>
        <w:t>Spaltenstruktur der Matrix (XLSX-Datei)</w:t>
      </w:r>
    </w:p>
    <w:p>
      <w:pPr>
        <w:jc w:val="left"/>
      </w:pPr>
      <w:r>
        <w:t xml:space="preserve">Die Anlagenmatrix ist als XLSX hinterlegt: </w:t>
      </w:r>
      <w:r>
        <w:t>anlagenmatrix_lg_aachen_3847_einzelanlagen.xlsx</w:t>
      </w:r>
      <w:r>
        <w:t>. Die Datei enthält folgende Spalten: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Spalte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Kanzlei-Dok-ID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WBT-DOK-2024001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Abnahmeprotokoll 04.11.2024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04.11.2024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LG-Anlage (K/B)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OLG-Anlage (BB/BK)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BB 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DIS-Anlage (S-W/S-KB)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S-W-003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Anspruchsposition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631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Einreichungsstatus 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eingereicht 21.01.2026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SHA-256-Hash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a3f5b8...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Seitenzahl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Indexerstellungs-Methodik</w:t>
      </w:r>
    </w:p>
    <w:p>
      <w:pPr>
        <w:pStyle w:val="Heading3"/>
      </w:pPr>
      <w:r>
        <w:rPr>
          <w:rFonts w:ascii="Times New Roman" w:hAnsi="Times New Roman"/>
        </w:rPr>
        <w:t>Schritt 1: Dokumentenerfassung (abgeschlossen 17.01.2026)</w:t>
      </w:r>
    </w:p>
    <w:p>
      <w:pPr>
        <w:jc w:val="left"/>
      </w:pPr>
      <w:r>
        <w:t xml:space="preserve">Hofferberth übergab einen USB-Stick mit 3.847 Einzeldateien in unstrukturierten Ordnern (nach Projekt-Phasen gegliedert: </w:t>
      </w:r>
      <w:r>
        <w:t>Planung_2023</w:t>
      </w:r>
      <w:r>
        <w:t xml:space="preserve">, </w:t>
      </w:r>
      <w:r>
        <w:t>Ausführung_2024-Q1</w:t>
      </w:r>
      <w:r>
        <w:t xml:space="preserve"> bis </w:t>
      </w:r>
      <w:r>
        <w:t>Ausführung_2024-Q4</w:t>
      </w:r>
      <w:r>
        <w:t xml:space="preserve">, </w:t>
      </w:r>
      <w:r>
        <w:t>Abnahme_2024-Q4</w:t>
      </w:r>
      <w:r>
        <w:t>). Stang hat alle Dateien in das kanzleiinterne DMS übertragen und jeden Datei einen Anfangs-Rohindex zugewiesen.</w:t>
      </w:r>
    </w:p>
    <w:p>
      <w:pPr>
        <w:pStyle w:val="Heading3"/>
      </w:pPr>
      <w:r>
        <w:rPr>
          <w:rFonts w:ascii="Times New Roman" w:hAnsi="Times New Roman"/>
        </w:rPr>
        <w:t>Schritt 2: Kategorisierung (abgeschlossen 20.01.2026)</w:t>
      </w:r>
    </w:p>
    <w:p>
      <w:pPr>
        <w:jc w:val="left"/>
      </w:pPr>
      <w:r>
        <w:t>Jedes Dokument wurde nach Typ kategorisiert (CAD-Plan, Bautagebuch, Aufmaß, Lieferschein etc.) und in die XLSX-Matrix aufgenommen. Für Kategorisierung und Verknüpfung mit Anspruchspositionen wurde eine interne Kategorisierungsanweisung erstellt (2 Seiten A4, liegt im Kanzlei-Intranet).</w:t>
      </w:r>
    </w:p>
    <w:p>
      <w:pPr>
        <w:pStyle w:val="Heading3"/>
      </w:pPr>
      <w:r>
        <w:rPr>
          <w:rFonts w:ascii="Times New Roman" w:hAnsi="Times New Roman"/>
        </w:rPr>
        <w:t>Schritt 3: Priorisierung (abgeschlossen 21.01.2026)</w:t>
      </w:r>
    </w:p>
    <w:p>
      <w:pPr>
        <w:jc w:val="left"/>
      </w:pPr>
      <w:r>
        <w:t>Aus den 3.847 Dokumenten wurden 247 als Gerichtsanlagen K1–K247 ausgewählt (Kriterien: unmittelbare Relevanz für Anspruchspositionen, Schlüsseldokumente, nicht substituierbar durch Zusammenfassung). Die verbleibenden 3.600 wurden als NL-Dokumente eingestuft.</w:t>
      </w:r>
    </w:p>
    <w:p>
      <w:pPr>
        <w:pStyle w:val="Heading3"/>
      </w:pPr>
      <w:r>
        <w:rPr>
          <w:rFonts w:ascii="Times New Roman" w:hAnsi="Times New Roman"/>
        </w:rPr>
        <w:t>Schritt 4: Hash-Berechnung (abgeschlossen nach PDF/A-Konvertierung, 23.01.2026)</w:t>
      </w:r>
    </w:p>
    <w:p>
      <w:pPr>
        <w:jc w:val="left"/>
      </w:pPr>
      <w:r>
        <w:t>Für alle 247 K-Anlagen wurden SHA-256-Prüfsummen berechnet (nach vollständiger PDF/A-2b-Konvertierung, vgl. Aktenstück 05). Die Prüfsummen sind in Spalte I der Matrix hinterlegt.</w:t>
      </w:r>
    </w:p>
    <w:p>
      <w:pPr>
        <w:pStyle w:val="Heading3"/>
      </w:pPr>
      <w:r>
        <w:rPr>
          <w:rFonts w:ascii="Times New Roman" w:hAnsi="Times New Roman"/>
        </w:rPr>
        <w:t>Schritt 5: Fortlaufende Pflege</w:t>
      </w:r>
    </w:p>
    <w:p>
      <w:pPr>
        <w:jc w:val="left"/>
      </w:pPr>
      <w:r>
        <w:t>Die Matrix wird bei jeder Einreichung, jedem Nachtrag und jeder Korrektur aktualisiert. Stand: 31.03.2026 — Revisionsnummer 7 (automatisch protokolliert im DMS).</w:t>
      </w:r>
    </w:p>
    <w:p/>
    <w:p>
      <w:pPr>
        <w:pStyle w:val="Heading2"/>
      </w:pPr>
      <w:r>
        <w:rPr>
          <w:rFonts w:ascii="Times New Roman" w:hAnsi="Times New Roman"/>
        </w:rPr>
        <w:t>QR-Code-Index (Querverweissystem)</w:t>
      </w:r>
    </w:p>
    <w:p>
      <w:pPr>
        <w:jc w:val="left"/>
      </w:pPr>
      <w:r>
        <w:t>Parallel zur XLSX-Matrix wurde ein QR-Code-Index entwickelt (Aktenstück 18). Jede Anlage im gedruckten Sammelband für das Schiedsgericht trägt auf dem Deckblatt einen QR-Code, der zur zentralen digitalen Version führt. Dies erleichtert dem Schiedsgericht die Navigation im 1.847-seitigen Sammelband.</w:t>
      </w:r>
    </w:p>
    <w:p/>
    <w:p>
      <w:pPr>
        <w:pStyle w:val="Heading2"/>
      </w:pPr>
      <w:r>
        <w:rPr>
          <w:rFonts w:ascii="Times New Roman" w:hAnsi="Times New Roman"/>
        </w:rPr>
        <w:t>Qualitätssicherung</w:t>
      </w:r>
    </w:p>
    <w:p>
      <w:pPr>
        <w:jc w:val="left"/>
      </w:pPr>
      <w:r>
        <w:t>Die Anlagenmatrix unterliegt einem 4-Augen-Prinzip: Jede Zeile (= ein Dokument) wird von Stang eingetragen und von Dr. Söhnchen oder Hofferberth geprüft. Bei mehr als 10 Änderungen täglich wird eine Revisionssitzung einberufen (Protokollpflicht).</w:t>
      </w:r>
    </w:p>
    <w:p>
      <w:pPr>
        <w:jc w:val="left"/>
      </w:pPr>
      <w:r>
        <w:t>Aktueller Fortschritt (Stand 31.03.2026):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Kanzlei-ID vergeben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K-Anlage zugewiesen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LG eingereicht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CAD-Pläne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Aufmaßprotokolle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Lieferscheine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Wiegescheine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Schweißnaht-Protokolle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441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441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FAT/SAT-Reports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Zollpapiere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Konformitätserklärungen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Sicherheitsdatenblätter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367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367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3.847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3.847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247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247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