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Mehrkostenabrechnung § 8 Abs. 2 VOB/B — Anlagenkette</w:t>
      </w:r>
    </w:p>
    <w:p>
      <w:pPr>
        <w:jc w:val="left"/>
      </w:pPr>
      <w:r>
        <w:t>Datum: 28. Februar 2026</w:t>
      </w:r>
    </w:p>
    <w:p>
      <w:pPr>
        <w:jc w:val="left"/>
      </w:pPr>
      <w:r>
        <w:t>Bearbeiter: RA Dr. Bertram Söhnchen LL.M.</w:t>
      </w:r>
    </w:p>
    <w:p>
      <w:pPr>
        <w:jc w:val="left"/>
      </w:pPr>
      <w:r>
        <w:t>Az.: 11 O 188/26 (LG Aachen)</w:t>
      </w:r>
    </w:p>
    <w:p/>
    <w:p>
      <w:pPr>
        <w:pStyle w:val="Heading2"/>
      </w:pPr>
      <w:r>
        <w:rPr>
          <w:rFonts w:ascii="Times New Roman" w:hAnsi="Times New Roman"/>
        </w:rPr>
        <w:t>Anspruchsgrundlage</w:t>
      </w:r>
    </w:p>
    <w:p>
      <w:pPr>
        <w:jc w:val="left"/>
      </w:pPr>
      <w:r>
        <w:t>§ 8 Abs. 2 VOB/B regelt die Vergütung des Auftragnehmers für geleistete Arbeit und entstandene Kosten bei Kündigung durch den Auftraggeber. Im vorliegenden Fall ist § 8 Abs. 2 VOB/B nicht wegen einer Kündigung relevant, sondern weil die Parteien im Nachunternehmervertrag (§ 14 NU-2024-047-KB) einen entsprechenden Verweis auf die Mehrkostenabrechnungsmethodik des VOB/B vereinbart haben: Für alle Zusatzleistungen, die nicht durch Nachtragsangebote vorab vereinbart wurden, gilt die Methodik der Mehrkostenabrechnung nach § 8 Abs. 2 i.V.m. § 2 Abs. 8 VOB/B.</w:t>
      </w:r>
    </w:p>
    <w:p>
      <w:pPr>
        <w:jc w:val="left"/>
      </w:pPr>
      <w:r>
        <w:t>Normentext § 8 Abs. 2 VOB/B: https://dejure.org/gesetze/VOB/B.html (§ 8 Nr. 2)</w:t>
      </w:r>
    </w:p>
    <w:p/>
    <w:p>
      <w:pPr>
        <w:pStyle w:val="Heading2"/>
      </w:pPr>
      <w:r>
        <w:rPr>
          <w:rFonts w:ascii="Times New Roman" w:hAnsi="Times New Roman"/>
        </w:rPr>
        <w:t>Mehrkostenpositionen (Übersicht)</w:t>
      </w:r>
    </w:p>
    <w:p>
      <w:pPr>
        <w:jc w:val="left"/>
      </w:pPr>
      <w:r>
        <w:t>Die Mehrkosten-Abrechnung umfasst 47 Nachtragspositionen. Die vier wichtigsten (nach Betrag) sind:</w:t>
      </w:r>
    </w:p>
    <w:p>
      <w:pPr>
        <w:pStyle w:val="Heading3"/>
      </w:pPr>
      <w:r>
        <w:rPr>
          <w:rFonts w:ascii="Times New Roman" w:hAnsi="Times New Roman"/>
        </w:rPr>
        <w:t>Position 1: Mehrmengen Stahlrohre DN200 (K13)</w:t>
      </w:r>
    </w:p>
    <w:p>
      <w:pPr>
        <w:jc w:val="left"/>
      </w:pPr>
      <w:r>
        <w:t>Vertraglich vereinbart: 2.240 m Stahlrohr DN200 (PN16). Tatsächlich verbaut: 3.817 m. Mengenmehrung: 1.577 m (+ 70,4 %). Nach § 2 Abs. 3 VOB/B (https://dejure.org/gesetze/VOB/B.html) besteht bei Überschreitungen von mehr als 10 % der Mengenschätzung ein Anspruch auf Anpassung des Einheitspreises. Da der Einheitspreis 48 EUR/m (netto) beträgt, ergibt sich eine Mehrvergütungsforderung von:</w:t>
      </w:r>
    </w:p>
    <w:p>
      <w:pPr>
        <w:jc w:val="left"/>
      </w:pPr>
      <w:r>
        <w:t>1.577 m × 48 EUR/m = 75.696 EUR (netto)</w:t>
      </w:r>
    </w:p>
    <w:p>
      <w:pPr>
        <w:jc w:val="left"/>
      </w:pPr>
      <w:r>
        <w:t>Hinzu kommt der Mengenmehrzuschlag für Mengen &gt; 110 % (vereinbart 5 %): ca. 1.079 EUR. Gesamt Position 1: ca. 76.775 EUR.</w:t>
      </w:r>
    </w:p>
    <w:p>
      <w:pPr>
        <w:jc w:val="left"/>
      </w:pPr>
      <w:r>
        <w:t>Belege: Wiegescheine K111–K125 (Stahlgewicht), Aufmaßprotokolle K16–K45 (Längenermittlung), Lieferscheine K81–K95 (Liefermengen Stahlrohre).</w:t>
      </w:r>
    </w:p>
    <w:p>
      <w:pPr>
        <w:pStyle w:val="Heading3"/>
      </w:pPr>
      <w:r>
        <w:rPr>
          <w:rFonts w:ascii="Times New Roman" w:hAnsi="Times New Roman"/>
        </w:rPr>
        <w:t>Position 2: Zusatzleistung Brandschutzabschottung (K14)</w:t>
      </w:r>
    </w:p>
    <w:p>
      <w:pPr>
        <w:jc w:val="left"/>
      </w:pPr>
      <w:r>
        <w:t>Die Planänderung vom 14.08.2024 (Anlage K12) ordnete nachträglich an, alle Rohrleitungsdurchführungen durch Brandschutzwände mit intumeszierenden Abschottungssystemen zu versehen. Diese Leistung war im ursprünglichen Leistungsverzeichnis nicht enthalten. Mehrvergütung vereinbart: 180.000 EUR pauschal (Nachtrag Nr. 31, K14). Von K+B akzeptiert dem Grunde nach, aber der Betrag wird bestritten (K+B: 140.000 EUR).</w:t>
      </w:r>
    </w:p>
    <w:p>
      <w:pPr>
        <w:jc w:val="left"/>
      </w:pPr>
      <w:r>
        <w:t>Streit: 40.000 EUR. Belege: Einbauprotokolle (NL-1200–NL-1247), Lieferscheine intumeszierende Produkte (NL-1100–NL-1120).</w:t>
      </w:r>
    </w:p>
    <w:p>
      <w:pPr>
        <w:pStyle w:val="Heading3"/>
      </w:pPr>
      <w:r>
        <w:rPr>
          <w:rFonts w:ascii="Times New Roman" w:hAnsi="Times New Roman"/>
        </w:rPr>
        <w:t>Position 3: Verzögerungskosten Steuerungssoftware (K15)</w:t>
      </w:r>
    </w:p>
    <w:p>
      <w:pPr>
        <w:jc w:val="left"/>
      </w:pPr>
      <w:r>
        <w:t>Wegen der verspäteten Lieferung der Software-Version 3.1.2 durch Shenzhen AutoControl (vgl. Aktenstück 11) konnte Werkmann das Montage-Team für das Steuerungsmodul 7C nicht wie geplant einsetzen. Das Team stand vom 01.10.2024 bis 04.11.2024 (35 Werktage) weitgehend unproduktiv auf der Baustelle. Mehrkostenforderung: Vorhaltekosten 14 Facharbeiter × 35 Tage × 650 EUR/Tag = 318.500 EUR.</w:t>
      </w:r>
    </w:p>
    <w:p>
      <w:pPr>
        <w:jc w:val="left"/>
      </w:pPr>
      <w:r>
        <w:t>K+B bestreitet die Verursachung vollständig. Belege: Stundenzettel (NL-1400–NL-1590), Bautagebuchauszüge K49–K65, SAT-Report K79a.</w:t>
      </w:r>
    </w:p>
    <w:p>
      <w:pPr>
        <w:pStyle w:val="Heading3"/>
      </w:pPr>
      <w:r>
        <w:rPr>
          <w:rFonts w:ascii="Times New Roman" w:hAnsi="Times New Roman"/>
        </w:rPr>
        <w:t>Position 4: Mehrkosten Gerüstmehraufwand (diverse Positionen)</w:t>
      </w:r>
    </w:p>
    <w:p>
      <w:pPr>
        <w:jc w:val="left"/>
      </w:pPr>
      <w:r>
        <w:t>17 kleinere Gerüst-Mehraufwands-Positionen summieren sich auf 94.200 EUR. Belege: Gerüstaufbaupläne (NL-0900–NL-0940), Rapporte Gerber Gerüstbau (NL-0950–NL-0980).</w:t>
      </w:r>
    </w:p>
    <w:p/>
    <w:p>
      <w:pPr>
        <w:pStyle w:val="Heading2"/>
      </w:pPr>
      <w:r>
        <w:rPr>
          <w:rFonts w:ascii="Times New Roman" w:hAnsi="Times New Roman"/>
        </w:rPr>
        <w:t>Anlagenkette zur Schlüssigkeitsprüfung</w:t>
      </w:r>
    </w:p>
    <w:p>
      <w:pPr>
        <w:jc w:val="left"/>
      </w:pPr>
      <w:r>
        <w:t>Der Begriff „Anlagenkette" bezeichnet die Verknüpfung von Anlagen, die gemeinsam eine Anspruchsposition beweisen. Für die Mehrkostenabrechnung gilt folgendes Ketten-Schema:</w:t>
      </w:r>
    </w:p>
    <w:p>
      <w:pPr>
        <w:jc w:val="left"/>
      </w:pPr>
      <w:r>
        <w:t>```</w:t>
      </w:r>
    </w:p>
    <w:p>
      <w:pPr>
        <w:jc w:val="left"/>
      </w:pPr>
      <w:r>
        <w:t>Anspruchsposition (Klagbegründung)</w:t>
      </w:r>
    </w:p>
    <w:p>
      <w:pPr>
        <w:jc w:val="left"/>
      </w:pPr>
      <w:r>
        <w:t>v</w:t>
      </w:r>
    </w:p>
    <w:p>
      <w:pPr>
        <w:jc w:val="left"/>
      </w:pPr>
      <w:r>
        <w:t>Nachtrag / Planänderung (Anlage: K12-K15)</w:t>
      </w:r>
    </w:p>
    <w:p>
      <w:pPr>
        <w:jc w:val="left"/>
      </w:pPr>
      <w:r>
        <w:t>v</w:t>
      </w:r>
    </w:p>
    <w:p>
      <w:pPr>
        <w:jc w:val="left"/>
      </w:pPr>
      <w:r>
        <w:t>Ausführungsnachweis (Anlage: Aufmaßprotokoll / Bautagebuch / Stundenzettel)</w:t>
      </w:r>
    </w:p>
    <w:p>
      <w:pPr>
        <w:jc w:val="left"/>
      </w:pPr>
      <w:r>
        <w:t>v</w:t>
      </w:r>
    </w:p>
    <w:p>
      <w:pPr>
        <w:jc w:val="left"/>
      </w:pPr>
      <w:r>
        <w:t>Mengen-/Massenbeleg (Anlage: Lieferschein / Wiegeschein)</w:t>
      </w:r>
    </w:p>
    <w:p>
      <w:pPr>
        <w:jc w:val="left"/>
      </w:pPr>
      <w:r>
        <w:t>v</w:t>
      </w:r>
    </w:p>
    <w:p>
      <w:pPr>
        <w:jc w:val="left"/>
      </w:pPr>
      <w:r>
        <w:t>Preisbeleg (Anlage: Einheitspreisliste / Lohnnachweis)</w:t>
      </w:r>
    </w:p>
    <w:p>
      <w:pPr>
        <w:jc w:val="left"/>
      </w:pPr>
      <w:r>
        <w:t>v</w:t>
      </w:r>
    </w:p>
    <w:p>
      <w:pPr>
        <w:jc w:val="left"/>
      </w:pPr>
      <w:r>
        <w:t>Schlussrechnungsposition (Anlage: K5, Rechnungszeile)</w:t>
      </w:r>
    </w:p>
    <w:p>
      <w:pPr>
        <w:jc w:val="left"/>
      </w:pPr>
      <w:r>
        <w:t>```</w:t>
      </w:r>
    </w:p>
    <w:p>
      <w:pPr>
        <w:jc w:val="left"/>
      </w:pPr>
      <w:r>
        <w:t xml:space="preserve">Jede Anlagenkette ist in der XLSX-Datei </w:t>
      </w:r>
      <w:r>
        <w:t>mehrkostenabrechnung_par8_vob_anlagenzuordnung.xlsx</w:t>
      </w:r>
      <w:r>
        <w:t xml:space="preserve"> vollständig dokumentiert. Für jede der 47 Nachtragspositionen ist die vollständige Kette mit Anlagennummern und Seitenverweisen hinterlegt.</w:t>
      </w:r>
    </w:p>
    <w:p/>
    <w:p>
      <w:pPr>
        <w:pStyle w:val="Heading2"/>
      </w:pPr>
      <w:r>
        <w:rPr>
          <w:rFonts w:ascii="Times New Roman" w:hAnsi="Times New Roman"/>
        </w:rPr>
        <w:t>Substanziierungsanforderungen</w:t>
      </w:r>
    </w:p>
    <w:p>
      <w:pPr>
        <w:jc w:val="left"/>
      </w:pPr>
      <w:r>
        <w:t>Der BGH hat in ständiger Rechtsprechung klargestellt, dass bei Werklohnklagen auf Basis von Aufmaß und Einheitspreisen eine positionsgenaue Darstellung der Mengen und Preise erforderlich ist (BGH, Urteil vom 24.02.2005 — VII ZR 141/03; abrufbar auf bundesgerichtshof.de). Die vorliegende Anlagenketten-Struktur entspricht diesen Anforderungen. Für das LG Aachen wurden die vier größten Positionen vollständig aufbereitet; die verbleibenden 43 Positionen sind in der XLSX-Datei mit Verweis auf das Nachlagenkonvolut dargestellt.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