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Schweißnahtprotokolle und DIN EN ISO 3834</w:t>
      </w:r>
    </w:p>
    <w:p>
      <w:pPr>
        <w:jc w:val="left"/>
      </w:pPr>
      <w:r>
        <w:t>Datum: 12. Februar 2026</w:t>
      </w:r>
    </w:p>
    <w:p>
      <w:pPr>
        <w:jc w:val="left"/>
      </w:pPr>
      <w:r>
        <w:t>Bearbeiter: Dipl.-Ing. Hofferberth (technisch), Lea Stang (juristisch)</w:t>
      </w:r>
    </w:p>
    <w:p>
      <w:pPr>
        <w:jc w:val="left"/>
      </w:pPr>
      <w:r>
        <w:t>Az.: 11 O 188/26 (LG Aachen)</w:t>
      </w:r>
    </w:p>
    <w:p/>
    <w:p>
      <w:pPr>
        <w:pStyle w:val="Heading2"/>
      </w:pPr>
      <w:r>
        <w:rPr>
          <w:rFonts w:ascii="Times New Roman" w:hAnsi="Times New Roman"/>
        </w:rPr>
        <w:t>Technischer Hintergrund</w:t>
      </w:r>
    </w:p>
    <w:p>
      <w:pPr>
        <w:jc w:val="left"/>
      </w:pPr>
      <w:r>
        <w:t xml:space="preserve">Die Errichtung der Lackieranlage erforderte umfangreiche Schweißarbeiten: Rohrleitungsverbindungen (Stahl DN200, DN100, DN50), Stahlbauträger der Förderanlagenstruktur und Behälterkonstruktionen des KTL-Tauchbeckens. Werkmann ist zertifizierter Schweißfachbetrieb nach </w:t>
      </w:r>
      <w:r>
        <w:rPr>
          <w:b/>
        </w:rPr>
        <w:t>DIN EN ISO 3834-2</w:t>
      </w:r>
      <w:r>
        <w:t xml:space="preserve"> (umfassende Qualitätsanforderungen für das Schmelzschweißen metallischer Werkstoffe). Das Zertifikat wurde am 14.03.2023 durch die SLV Aachen (Schweißtechnische Lehr- und Versuchsanstalt) ausgestellt und ist bis 13.03.2026 gültig (verlängert am 15.02.2026, Anlage K66a).</w:t>
      </w:r>
    </w:p>
    <w:p/>
    <w:p>
      <w:pPr>
        <w:pStyle w:val="Heading2"/>
      </w:pPr>
      <w:r>
        <w:rPr>
          <w:rFonts w:ascii="Times New Roman" w:hAnsi="Times New Roman"/>
        </w:rPr>
        <w:t>Schweißnahtprotokolle als Anlagen (K66–K75)</w:t>
      </w:r>
    </w:p>
    <w:p>
      <w:pPr>
        <w:jc w:val="left"/>
      </w:pPr>
      <w:r>
        <w:t>Insgesamt wurden 441 Schweißnahtprotokolle erstellt. Als Gerichtsanlagen werden K66–K75 vorgelegt (10 Protokolle, repräsentativ für alle Schweißnahtklassen). Die übrigen 431 Protokolle liegen im Nachlagenkonvolut (NL-0200–NL-0630).</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Anlage</w:t>
            </w:r>
          </w:p>
        </w:tc>
        <w:tc>
          <w:tcPr>
            <w:tcW w:type="dxa" w:w="1296"/>
          </w:tcPr>
          <w:p>
            <w:r>
              <w:rPr>
                <w:rFonts w:ascii="Times New Roman" w:hAnsi="Times New Roman"/>
                <w:b/>
                <w:sz w:val="20"/>
              </w:rPr>
              <w:t>Protokoll-Nr.</w:t>
            </w:r>
          </w:p>
        </w:tc>
        <w:tc>
          <w:tcPr>
            <w:tcW w:type="dxa" w:w="1296"/>
          </w:tcPr>
          <w:p>
            <w:r>
              <w:rPr>
                <w:rFonts w:ascii="Times New Roman" w:hAnsi="Times New Roman"/>
                <w:b/>
                <w:sz w:val="20"/>
              </w:rPr>
              <w:t>Datum</w:t>
            </w:r>
          </w:p>
        </w:tc>
        <w:tc>
          <w:tcPr>
            <w:tcW w:type="dxa" w:w="1296"/>
          </w:tcPr>
          <w:p>
            <w:r>
              <w:rPr>
                <w:rFonts w:ascii="Times New Roman" w:hAnsi="Times New Roman"/>
                <w:b/>
                <w:sz w:val="20"/>
              </w:rPr>
              <w:t>Bauteil</w:t>
            </w:r>
          </w:p>
        </w:tc>
        <w:tc>
          <w:tcPr>
            <w:tcW w:type="dxa" w:w="1296"/>
          </w:tcPr>
          <w:p>
            <w:r>
              <w:rPr>
                <w:rFonts w:ascii="Times New Roman" w:hAnsi="Times New Roman"/>
                <w:b/>
                <w:sz w:val="20"/>
              </w:rPr>
              <w:t>Schweißer</w:t>
            </w:r>
          </w:p>
        </w:tc>
        <w:tc>
          <w:tcPr>
            <w:tcW w:type="dxa" w:w="1296"/>
          </w:tcPr>
          <w:p>
            <w:r>
              <w:rPr>
                <w:rFonts w:ascii="Times New Roman" w:hAnsi="Times New Roman"/>
                <w:b/>
                <w:sz w:val="20"/>
              </w:rPr>
              <w:t>Nahtklasse</w:t>
            </w:r>
          </w:p>
        </w:tc>
        <w:tc>
          <w:tcPr>
            <w:tcW w:type="dxa" w:w="1296"/>
          </w:tcPr>
          <w:p>
            <w:r>
              <w:rPr>
                <w:rFonts w:ascii="Times New Roman" w:hAnsi="Times New Roman"/>
                <w:b/>
                <w:sz w:val="20"/>
              </w:rPr>
              <w:t>DIN EN</w:t>
            </w:r>
          </w:p>
        </w:tc>
      </w:tr>
      <w:tr>
        <w:tc>
          <w:tcPr>
            <w:tcW w:type="dxa" w:w="1296"/>
          </w:tcPr>
          <w:p>
            <w:r>
              <w:rPr>
                <w:rFonts w:ascii="Times New Roman" w:hAnsi="Times New Roman"/>
                <w:sz w:val="20"/>
              </w:rPr>
              <w:t>K66</w:t>
            </w:r>
          </w:p>
        </w:tc>
        <w:tc>
          <w:tcPr>
            <w:tcW w:type="dxa" w:w="1296"/>
          </w:tcPr>
          <w:p>
            <w:r>
              <w:rPr>
                <w:rFonts w:ascii="Times New Roman" w:hAnsi="Times New Roman"/>
                <w:sz w:val="20"/>
              </w:rPr>
              <w:t>SNP-2024-001</w:t>
            </w:r>
          </w:p>
        </w:tc>
        <w:tc>
          <w:tcPr>
            <w:tcW w:type="dxa" w:w="1296"/>
          </w:tcPr>
          <w:p>
            <w:r>
              <w:rPr>
                <w:rFonts w:ascii="Times New Roman" w:hAnsi="Times New Roman"/>
                <w:sz w:val="20"/>
              </w:rPr>
              <w:t>15.04.2024</w:t>
            </w:r>
          </w:p>
        </w:tc>
        <w:tc>
          <w:tcPr>
            <w:tcW w:type="dxa" w:w="1296"/>
          </w:tcPr>
          <w:p>
            <w:r>
              <w:rPr>
                <w:rFonts w:ascii="Times New Roman" w:hAnsi="Times New Roman"/>
                <w:sz w:val="20"/>
              </w:rPr>
              <w:t>Rohrleitung DN200, Strang A1</w:t>
            </w:r>
          </w:p>
        </w:tc>
        <w:tc>
          <w:tcPr>
            <w:tcW w:type="dxa" w:w="1296"/>
          </w:tcPr>
          <w:p>
            <w:r>
              <w:rPr>
                <w:rFonts w:ascii="Times New Roman" w:hAnsi="Times New Roman"/>
                <w:sz w:val="20"/>
              </w:rPr>
              <w:t>M. Gorski</w:t>
            </w:r>
          </w:p>
        </w:tc>
        <w:tc>
          <w:tcPr>
            <w:tcW w:type="dxa" w:w="1296"/>
          </w:tcPr>
          <w:p>
            <w:r>
              <w:rPr>
                <w:rFonts w:ascii="Times New Roman" w:hAnsi="Times New Roman"/>
                <w:sz w:val="20"/>
              </w:rPr>
              <w:t>BW-PA</w:t>
            </w:r>
          </w:p>
        </w:tc>
        <w:tc>
          <w:tcPr>
            <w:tcW w:type="dxa" w:w="1296"/>
          </w:tcPr>
          <w:p>
            <w:r>
              <w:rPr>
                <w:rFonts w:ascii="Times New Roman" w:hAnsi="Times New Roman"/>
                <w:sz w:val="20"/>
              </w:rPr>
              <w:t>DIN EN ISO 15614-1</w:t>
            </w:r>
          </w:p>
        </w:tc>
      </w:tr>
      <w:tr>
        <w:tc>
          <w:tcPr>
            <w:tcW w:type="dxa" w:w="1296"/>
          </w:tcPr>
          <w:p>
            <w:r>
              <w:rPr>
                <w:rFonts w:ascii="Times New Roman" w:hAnsi="Times New Roman"/>
                <w:sz w:val="20"/>
              </w:rPr>
              <w:t>K67</w:t>
            </w:r>
          </w:p>
        </w:tc>
        <w:tc>
          <w:tcPr>
            <w:tcW w:type="dxa" w:w="1296"/>
          </w:tcPr>
          <w:p>
            <w:r>
              <w:rPr>
                <w:rFonts w:ascii="Times New Roman" w:hAnsi="Times New Roman"/>
                <w:sz w:val="20"/>
              </w:rPr>
              <w:t>SNP-2024-047</w:t>
            </w:r>
          </w:p>
        </w:tc>
        <w:tc>
          <w:tcPr>
            <w:tcW w:type="dxa" w:w="1296"/>
          </w:tcPr>
          <w:p>
            <w:r>
              <w:rPr>
                <w:rFonts w:ascii="Times New Roman" w:hAnsi="Times New Roman"/>
                <w:sz w:val="20"/>
              </w:rPr>
              <w:t>22.05.2024</w:t>
            </w:r>
          </w:p>
        </w:tc>
        <w:tc>
          <w:tcPr>
            <w:tcW w:type="dxa" w:w="1296"/>
          </w:tcPr>
          <w:p>
            <w:r>
              <w:rPr>
                <w:rFonts w:ascii="Times New Roman" w:hAnsi="Times New Roman"/>
                <w:sz w:val="20"/>
              </w:rPr>
              <w:t>Träger Förderanlage, Achse 3</w:t>
            </w:r>
          </w:p>
        </w:tc>
        <w:tc>
          <w:tcPr>
            <w:tcW w:type="dxa" w:w="1296"/>
          </w:tcPr>
          <w:p>
            <w:r>
              <w:rPr>
                <w:rFonts w:ascii="Times New Roman" w:hAnsi="Times New Roman"/>
                <w:sz w:val="20"/>
              </w:rPr>
              <w:t>P. Brandis</w:t>
            </w:r>
          </w:p>
        </w:tc>
        <w:tc>
          <w:tcPr>
            <w:tcW w:type="dxa" w:w="1296"/>
          </w:tcPr>
          <w:p>
            <w:r>
              <w:rPr>
                <w:rFonts w:ascii="Times New Roman" w:hAnsi="Times New Roman"/>
                <w:sz w:val="20"/>
              </w:rPr>
              <w:t>FW-PB</w:t>
            </w:r>
          </w:p>
        </w:tc>
        <w:tc>
          <w:tcPr>
            <w:tcW w:type="dxa" w:w="1296"/>
          </w:tcPr>
          <w:p>
            <w:r>
              <w:rPr>
                <w:rFonts w:ascii="Times New Roman" w:hAnsi="Times New Roman"/>
                <w:sz w:val="20"/>
              </w:rPr>
              <w:t>DIN EN ISO 9692-2</w:t>
            </w:r>
          </w:p>
        </w:tc>
      </w:tr>
      <w:tr>
        <w:tc>
          <w:tcPr>
            <w:tcW w:type="dxa" w:w="1296"/>
          </w:tcPr>
          <w:p>
            <w:r>
              <w:rPr>
                <w:rFonts w:ascii="Times New Roman" w:hAnsi="Times New Roman"/>
                <w:sz w:val="20"/>
              </w:rPr>
              <w:t>K68</w:t>
            </w:r>
          </w:p>
        </w:tc>
        <w:tc>
          <w:tcPr>
            <w:tcW w:type="dxa" w:w="1296"/>
          </w:tcPr>
          <w:p>
            <w:r>
              <w:rPr>
                <w:rFonts w:ascii="Times New Roman" w:hAnsi="Times New Roman"/>
                <w:sz w:val="20"/>
              </w:rPr>
              <w:t>SNP-2024-112</w:t>
            </w:r>
          </w:p>
        </w:tc>
        <w:tc>
          <w:tcPr>
            <w:tcW w:type="dxa" w:w="1296"/>
          </w:tcPr>
          <w:p>
            <w:r>
              <w:rPr>
                <w:rFonts w:ascii="Times New Roman" w:hAnsi="Times New Roman"/>
                <w:sz w:val="20"/>
              </w:rPr>
              <w:t>08.06.2024</w:t>
            </w:r>
          </w:p>
        </w:tc>
        <w:tc>
          <w:tcPr>
            <w:tcW w:type="dxa" w:w="1296"/>
          </w:tcPr>
          <w:p>
            <w:r>
              <w:rPr>
                <w:rFonts w:ascii="Times New Roman" w:hAnsi="Times New Roman"/>
                <w:sz w:val="20"/>
              </w:rPr>
              <w:t>KTL-Tauchbecken, Naht B-11</w:t>
            </w:r>
          </w:p>
        </w:tc>
        <w:tc>
          <w:tcPr>
            <w:tcW w:type="dxa" w:w="1296"/>
          </w:tcPr>
          <w:p>
            <w:r>
              <w:rPr>
                <w:rFonts w:ascii="Times New Roman" w:hAnsi="Times New Roman"/>
                <w:sz w:val="20"/>
              </w:rPr>
              <w:t>M. Gorski</w:t>
            </w:r>
          </w:p>
        </w:tc>
        <w:tc>
          <w:tcPr>
            <w:tcW w:type="dxa" w:w="1296"/>
          </w:tcPr>
          <w:p>
            <w:r>
              <w:rPr>
                <w:rFonts w:ascii="Times New Roman" w:hAnsi="Times New Roman"/>
                <w:sz w:val="20"/>
              </w:rPr>
              <w:t>BW-PC</w:t>
            </w:r>
          </w:p>
        </w:tc>
        <w:tc>
          <w:tcPr>
            <w:tcW w:type="dxa" w:w="1296"/>
          </w:tcPr>
          <w:p>
            <w:r>
              <w:rPr>
                <w:rFonts w:ascii="Times New Roman" w:hAnsi="Times New Roman"/>
                <w:sz w:val="20"/>
              </w:rPr>
              <w:t>DIN EN ISO 15614-1</w:t>
            </w:r>
          </w:p>
        </w:tc>
      </w:tr>
      <w:tr>
        <w:tc>
          <w:tcPr>
            <w:tcW w:type="dxa" w:w="1296"/>
          </w:tcPr>
          <w:p>
            <w:r>
              <w:rPr>
                <w:rFonts w:ascii="Times New Roman" w:hAnsi="Times New Roman"/>
                <w:sz w:val="20"/>
              </w:rPr>
              <w:t>K69</w:t>
            </w:r>
          </w:p>
        </w:tc>
        <w:tc>
          <w:tcPr>
            <w:tcW w:type="dxa" w:w="1296"/>
          </w:tcPr>
          <w:p>
            <w:r>
              <w:rPr>
                <w:rFonts w:ascii="Times New Roman" w:hAnsi="Times New Roman"/>
                <w:sz w:val="20"/>
              </w:rPr>
              <w:t>SNP-2024-198</w:t>
            </w:r>
          </w:p>
        </w:tc>
        <w:tc>
          <w:tcPr>
            <w:tcW w:type="dxa" w:w="1296"/>
          </w:tcPr>
          <w:p>
            <w:r>
              <w:rPr>
                <w:rFonts w:ascii="Times New Roman" w:hAnsi="Times New Roman"/>
                <w:sz w:val="20"/>
              </w:rPr>
              <w:t>14.07.2024</w:t>
            </w:r>
          </w:p>
        </w:tc>
        <w:tc>
          <w:tcPr>
            <w:tcW w:type="dxa" w:w="1296"/>
          </w:tcPr>
          <w:p>
            <w:r>
              <w:rPr>
                <w:rFonts w:ascii="Times New Roman" w:hAnsi="Times New Roman"/>
                <w:sz w:val="20"/>
              </w:rPr>
              <w:t>Rohrleitung DN100, Strang C3</w:t>
            </w:r>
          </w:p>
        </w:tc>
        <w:tc>
          <w:tcPr>
            <w:tcW w:type="dxa" w:w="1296"/>
          </w:tcPr>
          <w:p>
            <w:r>
              <w:rPr>
                <w:rFonts w:ascii="Times New Roman" w:hAnsi="Times New Roman"/>
                <w:sz w:val="20"/>
              </w:rPr>
              <w:t>F. Tscholl</w:t>
            </w:r>
          </w:p>
        </w:tc>
        <w:tc>
          <w:tcPr>
            <w:tcW w:type="dxa" w:w="1296"/>
          </w:tcPr>
          <w:p>
            <w:r>
              <w:rPr>
                <w:rFonts w:ascii="Times New Roman" w:hAnsi="Times New Roman"/>
                <w:sz w:val="20"/>
              </w:rPr>
              <w:t>BW-PA</w:t>
            </w:r>
          </w:p>
        </w:tc>
        <w:tc>
          <w:tcPr>
            <w:tcW w:type="dxa" w:w="1296"/>
          </w:tcPr>
          <w:p>
            <w:r>
              <w:rPr>
                <w:rFonts w:ascii="Times New Roman" w:hAnsi="Times New Roman"/>
                <w:sz w:val="20"/>
              </w:rPr>
              <w:t>DIN EN ISO 15614-1</w:t>
            </w:r>
          </w:p>
        </w:tc>
      </w:tr>
      <w:tr>
        <w:tc>
          <w:tcPr>
            <w:tcW w:type="dxa" w:w="1296"/>
          </w:tcPr>
          <w:p>
            <w:r>
              <w:rPr>
                <w:rFonts w:ascii="Times New Roman" w:hAnsi="Times New Roman"/>
                <w:sz w:val="20"/>
              </w:rPr>
              <w:t>K70</w:t>
            </w:r>
          </w:p>
        </w:tc>
        <w:tc>
          <w:tcPr>
            <w:tcW w:type="dxa" w:w="1296"/>
          </w:tcPr>
          <w:p>
            <w:r>
              <w:rPr>
                <w:rFonts w:ascii="Times New Roman" w:hAnsi="Times New Roman"/>
                <w:sz w:val="20"/>
              </w:rPr>
              <w:t>SNP-2024-267</w:t>
            </w:r>
          </w:p>
        </w:tc>
        <w:tc>
          <w:tcPr>
            <w:tcW w:type="dxa" w:w="1296"/>
          </w:tcPr>
          <w:p>
            <w:r>
              <w:rPr>
                <w:rFonts w:ascii="Times New Roman" w:hAnsi="Times New Roman"/>
                <w:sz w:val="20"/>
              </w:rPr>
              <w:t>29.07.2024</w:t>
            </w:r>
          </w:p>
        </w:tc>
        <w:tc>
          <w:tcPr>
            <w:tcW w:type="dxa" w:w="1296"/>
          </w:tcPr>
          <w:p>
            <w:r>
              <w:rPr>
                <w:rFonts w:ascii="Times New Roman" w:hAnsi="Times New Roman"/>
                <w:sz w:val="20"/>
              </w:rPr>
              <w:t>Absauganlage, Verbindung E-7</w:t>
            </w:r>
          </w:p>
        </w:tc>
        <w:tc>
          <w:tcPr>
            <w:tcW w:type="dxa" w:w="1296"/>
          </w:tcPr>
          <w:p>
            <w:r>
              <w:rPr>
                <w:rFonts w:ascii="Times New Roman" w:hAnsi="Times New Roman"/>
                <w:sz w:val="20"/>
              </w:rPr>
              <w:t>P. Brandis</w:t>
            </w:r>
          </w:p>
        </w:tc>
        <w:tc>
          <w:tcPr>
            <w:tcW w:type="dxa" w:w="1296"/>
          </w:tcPr>
          <w:p>
            <w:r>
              <w:rPr>
                <w:rFonts w:ascii="Times New Roman" w:hAnsi="Times New Roman"/>
                <w:sz w:val="20"/>
              </w:rPr>
              <w:t>BW-PF</w:t>
            </w:r>
          </w:p>
        </w:tc>
        <w:tc>
          <w:tcPr>
            <w:tcW w:type="dxa" w:w="1296"/>
          </w:tcPr>
          <w:p>
            <w:r>
              <w:rPr>
                <w:rFonts w:ascii="Times New Roman" w:hAnsi="Times New Roman"/>
                <w:sz w:val="20"/>
              </w:rPr>
              <w:t>DIN EN ISO 15614-1</w:t>
            </w:r>
          </w:p>
        </w:tc>
      </w:tr>
      <w:tr>
        <w:tc>
          <w:tcPr>
            <w:tcW w:type="dxa" w:w="1296"/>
          </w:tcPr>
          <w:p>
            <w:r>
              <w:rPr>
                <w:rFonts w:ascii="Times New Roman" w:hAnsi="Times New Roman"/>
                <w:sz w:val="20"/>
              </w:rPr>
              <w:t>K71</w:t>
            </w:r>
          </w:p>
        </w:tc>
        <w:tc>
          <w:tcPr>
            <w:tcW w:type="dxa" w:w="1296"/>
          </w:tcPr>
          <w:p>
            <w:r>
              <w:rPr>
                <w:rFonts w:ascii="Times New Roman" w:hAnsi="Times New Roman"/>
                <w:sz w:val="20"/>
              </w:rPr>
              <w:t>SNP-2024-315</w:t>
            </w:r>
          </w:p>
        </w:tc>
        <w:tc>
          <w:tcPr>
            <w:tcW w:type="dxa" w:w="1296"/>
          </w:tcPr>
          <w:p>
            <w:r>
              <w:rPr>
                <w:rFonts w:ascii="Times New Roman" w:hAnsi="Times New Roman"/>
                <w:sz w:val="20"/>
              </w:rPr>
              <w:t>18.08.2024</w:t>
            </w:r>
          </w:p>
        </w:tc>
        <w:tc>
          <w:tcPr>
            <w:tcW w:type="dxa" w:w="1296"/>
          </w:tcPr>
          <w:p>
            <w:r>
              <w:rPr>
                <w:rFonts w:ascii="Times New Roman" w:hAnsi="Times New Roman"/>
                <w:sz w:val="20"/>
              </w:rPr>
              <w:t>Stahlstütze, Pos. F-14</w:t>
            </w:r>
          </w:p>
        </w:tc>
        <w:tc>
          <w:tcPr>
            <w:tcW w:type="dxa" w:w="1296"/>
          </w:tcPr>
          <w:p>
            <w:r>
              <w:rPr>
                <w:rFonts w:ascii="Times New Roman" w:hAnsi="Times New Roman"/>
                <w:sz w:val="20"/>
              </w:rPr>
              <w:t>M. Gorski</w:t>
            </w:r>
          </w:p>
        </w:tc>
        <w:tc>
          <w:tcPr>
            <w:tcW w:type="dxa" w:w="1296"/>
          </w:tcPr>
          <w:p>
            <w:r>
              <w:rPr>
                <w:rFonts w:ascii="Times New Roman" w:hAnsi="Times New Roman"/>
                <w:sz w:val="20"/>
              </w:rPr>
              <w:t>FW-PA</w:t>
            </w:r>
          </w:p>
        </w:tc>
        <w:tc>
          <w:tcPr>
            <w:tcW w:type="dxa" w:w="1296"/>
          </w:tcPr>
          <w:p>
            <w:r>
              <w:rPr>
                <w:rFonts w:ascii="Times New Roman" w:hAnsi="Times New Roman"/>
                <w:sz w:val="20"/>
              </w:rPr>
              <w:t>DIN EN ISO 9692-2</w:t>
            </w:r>
          </w:p>
        </w:tc>
      </w:tr>
      <w:tr>
        <w:tc>
          <w:tcPr>
            <w:tcW w:type="dxa" w:w="1296"/>
          </w:tcPr>
          <w:p>
            <w:r>
              <w:rPr>
                <w:rFonts w:ascii="Times New Roman" w:hAnsi="Times New Roman"/>
                <w:sz w:val="20"/>
              </w:rPr>
              <w:t>K72</w:t>
            </w:r>
          </w:p>
        </w:tc>
        <w:tc>
          <w:tcPr>
            <w:tcW w:type="dxa" w:w="1296"/>
          </w:tcPr>
          <w:p>
            <w:r>
              <w:rPr>
                <w:rFonts w:ascii="Times New Roman" w:hAnsi="Times New Roman"/>
                <w:sz w:val="20"/>
              </w:rPr>
              <w:t>SNP-2024-380</w:t>
            </w:r>
          </w:p>
        </w:tc>
        <w:tc>
          <w:tcPr>
            <w:tcW w:type="dxa" w:w="1296"/>
          </w:tcPr>
          <w:p>
            <w:r>
              <w:rPr>
                <w:rFonts w:ascii="Times New Roman" w:hAnsi="Times New Roman"/>
                <w:sz w:val="20"/>
              </w:rPr>
              <w:t>02.09.2024</w:t>
            </w:r>
          </w:p>
        </w:tc>
        <w:tc>
          <w:tcPr>
            <w:tcW w:type="dxa" w:w="1296"/>
          </w:tcPr>
          <w:p>
            <w:r>
              <w:rPr>
                <w:rFonts w:ascii="Times New Roman" w:hAnsi="Times New Roman"/>
                <w:sz w:val="20"/>
              </w:rPr>
              <w:t>KTL-Zulaufleitung</w:t>
            </w:r>
          </w:p>
        </w:tc>
        <w:tc>
          <w:tcPr>
            <w:tcW w:type="dxa" w:w="1296"/>
          </w:tcPr>
          <w:p>
            <w:r>
              <w:rPr>
                <w:rFonts w:ascii="Times New Roman" w:hAnsi="Times New Roman"/>
                <w:sz w:val="20"/>
              </w:rPr>
              <w:t>F. Tscholl</w:t>
            </w:r>
          </w:p>
        </w:tc>
        <w:tc>
          <w:tcPr>
            <w:tcW w:type="dxa" w:w="1296"/>
          </w:tcPr>
          <w:p>
            <w:r>
              <w:rPr>
                <w:rFonts w:ascii="Times New Roman" w:hAnsi="Times New Roman"/>
                <w:sz w:val="20"/>
              </w:rPr>
              <w:t>BW-PA</w:t>
            </w:r>
          </w:p>
        </w:tc>
        <w:tc>
          <w:tcPr>
            <w:tcW w:type="dxa" w:w="1296"/>
          </w:tcPr>
          <w:p>
            <w:r>
              <w:rPr>
                <w:rFonts w:ascii="Times New Roman" w:hAnsi="Times New Roman"/>
                <w:sz w:val="20"/>
              </w:rPr>
              <w:t>DIN EN ISO 15614-1</w:t>
            </w:r>
          </w:p>
        </w:tc>
      </w:tr>
      <w:tr>
        <w:tc>
          <w:tcPr>
            <w:tcW w:type="dxa" w:w="1296"/>
          </w:tcPr>
          <w:p>
            <w:r>
              <w:rPr>
                <w:rFonts w:ascii="Times New Roman" w:hAnsi="Times New Roman"/>
                <w:sz w:val="20"/>
              </w:rPr>
              <w:t>K73</w:t>
            </w:r>
          </w:p>
        </w:tc>
        <w:tc>
          <w:tcPr>
            <w:tcW w:type="dxa" w:w="1296"/>
          </w:tcPr>
          <w:p>
            <w:r>
              <w:rPr>
                <w:rFonts w:ascii="Times New Roman" w:hAnsi="Times New Roman"/>
                <w:sz w:val="20"/>
              </w:rPr>
              <w:t>SNP-2024-401</w:t>
            </w:r>
          </w:p>
        </w:tc>
        <w:tc>
          <w:tcPr>
            <w:tcW w:type="dxa" w:w="1296"/>
          </w:tcPr>
          <w:p>
            <w:r>
              <w:rPr>
                <w:rFonts w:ascii="Times New Roman" w:hAnsi="Times New Roman"/>
                <w:sz w:val="20"/>
              </w:rPr>
              <w:t>12.09.2024</w:t>
            </w:r>
          </w:p>
        </w:tc>
        <w:tc>
          <w:tcPr>
            <w:tcW w:type="dxa" w:w="1296"/>
          </w:tcPr>
          <w:p>
            <w:r>
              <w:rPr>
                <w:rFonts w:ascii="Times New Roman" w:hAnsi="Times New Roman"/>
                <w:sz w:val="20"/>
              </w:rPr>
              <w:t>Rohrleitung DN50, Strang G</w:t>
            </w:r>
          </w:p>
        </w:tc>
        <w:tc>
          <w:tcPr>
            <w:tcW w:type="dxa" w:w="1296"/>
          </w:tcPr>
          <w:p>
            <w:r>
              <w:rPr>
                <w:rFonts w:ascii="Times New Roman" w:hAnsi="Times New Roman"/>
                <w:sz w:val="20"/>
              </w:rPr>
              <w:t>P. Brandis</w:t>
            </w:r>
          </w:p>
        </w:tc>
        <w:tc>
          <w:tcPr>
            <w:tcW w:type="dxa" w:w="1296"/>
          </w:tcPr>
          <w:p>
            <w:r>
              <w:rPr>
                <w:rFonts w:ascii="Times New Roman" w:hAnsi="Times New Roman"/>
                <w:sz w:val="20"/>
              </w:rPr>
              <w:t>BW-PB</w:t>
            </w:r>
          </w:p>
        </w:tc>
        <w:tc>
          <w:tcPr>
            <w:tcW w:type="dxa" w:w="1296"/>
          </w:tcPr>
          <w:p>
            <w:r>
              <w:rPr>
                <w:rFonts w:ascii="Times New Roman" w:hAnsi="Times New Roman"/>
                <w:sz w:val="20"/>
              </w:rPr>
              <w:t>DIN EN ISO 15614-1</w:t>
            </w:r>
          </w:p>
        </w:tc>
      </w:tr>
      <w:tr>
        <w:tc>
          <w:tcPr>
            <w:tcW w:type="dxa" w:w="1296"/>
          </w:tcPr>
          <w:p>
            <w:r>
              <w:rPr>
                <w:rFonts w:ascii="Times New Roman" w:hAnsi="Times New Roman"/>
                <w:sz w:val="20"/>
              </w:rPr>
              <w:t>K74</w:t>
            </w:r>
          </w:p>
        </w:tc>
        <w:tc>
          <w:tcPr>
            <w:tcW w:type="dxa" w:w="1296"/>
          </w:tcPr>
          <w:p>
            <w:r>
              <w:rPr>
                <w:rFonts w:ascii="Times New Roman" w:hAnsi="Times New Roman"/>
                <w:sz w:val="20"/>
              </w:rPr>
              <w:t>SNP-2024-431</w:t>
            </w:r>
          </w:p>
        </w:tc>
        <w:tc>
          <w:tcPr>
            <w:tcW w:type="dxa" w:w="1296"/>
          </w:tcPr>
          <w:p>
            <w:r>
              <w:rPr>
                <w:rFonts w:ascii="Times New Roman" w:hAnsi="Times New Roman"/>
                <w:sz w:val="20"/>
              </w:rPr>
              <w:t>24.09.2024</w:t>
            </w:r>
          </w:p>
        </w:tc>
        <w:tc>
          <w:tcPr>
            <w:tcW w:type="dxa" w:w="1296"/>
          </w:tcPr>
          <w:p>
            <w:r>
              <w:rPr>
                <w:rFonts w:ascii="Times New Roman" w:hAnsi="Times New Roman"/>
                <w:sz w:val="20"/>
              </w:rPr>
              <w:t>Träger Hängebahn, Sektion 7</w:t>
            </w:r>
          </w:p>
        </w:tc>
        <w:tc>
          <w:tcPr>
            <w:tcW w:type="dxa" w:w="1296"/>
          </w:tcPr>
          <w:p>
            <w:r>
              <w:rPr>
                <w:rFonts w:ascii="Times New Roman" w:hAnsi="Times New Roman"/>
                <w:sz w:val="20"/>
              </w:rPr>
              <w:t>M. Gorski</w:t>
            </w:r>
          </w:p>
        </w:tc>
        <w:tc>
          <w:tcPr>
            <w:tcW w:type="dxa" w:w="1296"/>
          </w:tcPr>
          <w:p>
            <w:r>
              <w:rPr>
                <w:rFonts w:ascii="Times New Roman" w:hAnsi="Times New Roman"/>
                <w:sz w:val="20"/>
              </w:rPr>
              <w:t>FW-PA</w:t>
            </w:r>
          </w:p>
        </w:tc>
        <w:tc>
          <w:tcPr>
            <w:tcW w:type="dxa" w:w="1296"/>
          </w:tcPr>
          <w:p>
            <w:r>
              <w:rPr>
                <w:rFonts w:ascii="Times New Roman" w:hAnsi="Times New Roman"/>
                <w:sz w:val="20"/>
              </w:rPr>
              <w:t>DIN EN ISO 9692-2</w:t>
            </w:r>
          </w:p>
        </w:tc>
      </w:tr>
      <w:tr>
        <w:tc>
          <w:tcPr>
            <w:tcW w:type="dxa" w:w="1296"/>
          </w:tcPr>
          <w:p>
            <w:r>
              <w:rPr>
                <w:rFonts w:ascii="Times New Roman" w:hAnsi="Times New Roman"/>
                <w:sz w:val="20"/>
              </w:rPr>
              <w:t>K75</w:t>
            </w:r>
          </w:p>
        </w:tc>
        <w:tc>
          <w:tcPr>
            <w:tcW w:type="dxa" w:w="1296"/>
          </w:tcPr>
          <w:p>
            <w:r>
              <w:rPr>
                <w:rFonts w:ascii="Times New Roman" w:hAnsi="Times New Roman"/>
                <w:sz w:val="20"/>
              </w:rPr>
              <w:t>SNP-2024-441</w:t>
            </w:r>
          </w:p>
        </w:tc>
        <w:tc>
          <w:tcPr>
            <w:tcW w:type="dxa" w:w="1296"/>
          </w:tcPr>
          <w:p>
            <w:r>
              <w:rPr>
                <w:rFonts w:ascii="Times New Roman" w:hAnsi="Times New Roman"/>
                <w:sz w:val="20"/>
              </w:rPr>
              <w:t>02.10.2024</w:t>
            </w:r>
          </w:p>
        </w:tc>
        <w:tc>
          <w:tcPr>
            <w:tcW w:type="dxa" w:w="1296"/>
          </w:tcPr>
          <w:p>
            <w:r>
              <w:rPr>
                <w:rFonts w:ascii="Times New Roman" w:hAnsi="Times New Roman"/>
                <w:sz w:val="20"/>
              </w:rPr>
              <w:t>Schlussprüfung Gesamtanlage</w:t>
            </w:r>
          </w:p>
        </w:tc>
        <w:tc>
          <w:tcPr>
            <w:tcW w:type="dxa" w:w="1296"/>
          </w:tcPr>
          <w:p>
            <w:r>
              <w:rPr>
                <w:rFonts w:ascii="Times New Roman" w:hAnsi="Times New Roman"/>
                <w:sz w:val="20"/>
              </w:rPr>
              <w:t>Alle drei</w:t>
            </w:r>
          </w:p>
        </w:tc>
        <w:tc>
          <w:tcPr>
            <w:tcW w:type="dxa" w:w="1296"/>
          </w:tcPr>
          <w:p>
            <w:r>
              <w:rPr>
                <w:rFonts w:ascii="Times New Roman" w:hAnsi="Times New Roman"/>
                <w:sz w:val="20"/>
              </w:rPr>
              <w:t>Prüfbericht</w:t>
            </w:r>
          </w:p>
        </w:tc>
        <w:tc>
          <w:tcPr>
            <w:tcW w:type="dxa" w:w="1296"/>
          </w:tcPr>
          <w:p>
            <w:r>
              <w:rPr>
                <w:rFonts w:ascii="Times New Roman" w:hAnsi="Times New Roman"/>
                <w:sz w:val="20"/>
              </w:rPr>
              <w:t>DIN EN ISO 3834-2</w:t>
            </w:r>
          </w:p>
        </w:tc>
      </w:tr>
    </w:tbl>
    <w:p/>
    <w:p>
      <w:pPr>
        <w:pStyle w:val="Heading2"/>
      </w:pPr>
      <w:r>
        <w:rPr>
          <w:rFonts w:ascii="Times New Roman" w:hAnsi="Times New Roman"/>
        </w:rPr>
        <w:t>Inhalt eines Schweißnahtprotokolls (Schema)</w:t>
      </w:r>
    </w:p>
    <w:p>
      <w:pPr>
        <w:jc w:val="left"/>
      </w:pPr>
      <w:r>
        <w:t>Jedes Schweißnahtprotokoll enthält:</w:t>
      </w:r>
    </w:p>
    <w:p>
      <w:pPr>
        <w:pStyle w:val="ListBullet"/>
      </w:pPr>
      <w:r>
        <w:t>Bauteil-ID und Baustellenposition</w:t>
      </w:r>
    </w:p>
    <w:p>
      <w:pPr>
        <w:pStyle w:val="ListBullet"/>
      </w:pPr>
      <w:r>
        <w:t>Werkstoffbezeichnung (z.B. S235JR nach DIN EN 10025)</w:t>
      </w:r>
    </w:p>
    <w:p>
      <w:pPr>
        <w:pStyle w:val="ListBullet"/>
      </w:pPr>
      <w:r>
        <w:t>WPS-Nummer (Welding Procedure Specification)</w:t>
      </w:r>
    </w:p>
    <w:p>
      <w:pPr>
        <w:pStyle w:val="ListBullet"/>
      </w:pPr>
      <w:r>
        <w:t>Schweißer-Qualifikation (Zertifikat nach DIN EN ISO 9606-1)</w:t>
      </w:r>
    </w:p>
    <w:p>
      <w:pPr>
        <w:pStyle w:val="ListBullet"/>
      </w:pPr>
      <w:r>
        <w:t>Nahtklasse und Nahtgeometrie</w:t>
      </w:r>
    </w:p>
    <w:p>
      <w:pPr>
        <w:pStyle w:val="ListBullet"/>
      </w:pPr>
      <w:r>
        <w:t>Prüfergebnis (Sichtprüfung, ggf. Röntgen-/Ultraschall-Prüfung)</w:t>
      </w:r>
    </w:p>
    <w:p>
      <w:pPr>
        <w:pStyle w:val="ListBullet"/>
      </w:pPr>
      <w:r>
        <w:t>Freigabe durch Schweißaufsichtsperson (SFI nach DVS)</w:t>
      </w:r>
    </w:p>
    <w:p/>
    <w:p>
      <w:pPr>
        <w:pStyle w:val="Heading2"/>
      </w:pPr>
      <w:r>
        <w:rPr>
          <w:rFonts w:ascii="Times New Roman" w:hAnsi="Times New Roman"/>
        </w:rPr>
        <w:t>Prozessuale Relevanz</w:t>
      </w:r>
    </w:p>
    <w:p>
      <w:pPr>
        <w:pStyle w:val="Heading3"/>
      </w:pPr>
      <w:r>
        <w:rPr>
          <w:rFonts w:ascii="Times New Roman" w:hAnsi="Times New Roman"/>
        </w:rPr>
        <w:t>1. Nachweis ordnungsgemäße Ausführung (§ 631 BGB)</w:t>
      </w:r>
    </w:p>
    <w:p>
      <w:pPr>
        <w:jc w:val="left"/>
      </w:pPr>
      <w:r>
        <w:t>Die Schweißnahtprotokolle belegen, dass die Werkleistung fachgerecht erbracht wurde. K+B hat — als Reaktion auf den Echtheitsstreit bei den Aufmaßprotokollen (Aktenstück 06) — auch Zweifel an der Richtigkeit einzelner Schweißnahtprotokolle geäußert. Die Protokolle sind jedoch durch das unabhängige Zertifizierungssystem der SLV Aachen gestützt: Die SLV hat im Rahmen der ISO-3834-Zertifizierung jährliche Audits durchgeführt, zuletzt am 15.02.2026. Das Audit-Protokoll (Anlage K66b) bestätigt die Vollständigkeit und Richtigkeit der Schweißdokumentation.</w:t>
      </w:r>
    </w:p>
    <w:p>
      <w:pPr>
        <w:pStyle w:val="Heading3"/>
      </w:pPr>
      <w:r>
        <w:rPr>
          <w:rFonts w:ascii="Times New Roman" w:hAnsi="Times New Roman"/>
        </w:rPr>
        <w:t>2. Mengennachweise für Mehrkosten-Abrechnung</w:t>
      </w:r>
    </w:p>
    <w:p>
      <w:pPr>
        <w:jc w:val="left"/>
      </w:pPr>
      <w:r>
        <w:t>Die Schweißnahtprotokolle belegen auch Mengen: Jede Schweißnaht hat eine dokumentierte Länge und einen dokumentierten Zeitaufwand (Lohnstunden). Diese Werte sind in die Aufmaßprotokolle und die Schlussrechnung eingeflossen. Bei Bestreiten der Mengen kann auf die Schweißnahtprotokolle als unabhängige Quelle verwiesen werden.</w:t>
      </w:r>
    </w:p>
    <w:p>
      <w:pPr>
        <w:pStyle w:val="Heading3"/>
      </w:pPr>
      <w:r>
        <w:rPr>
          <w:rFonts w:ascii="Times New Roman" w:hAnsi="Times New Roman"/>
        </w:rPr>
        <w:t>3. Mängelverteidigung</w:t>
      </w:r>
    </w:p>
    <w:p>
      <w:pPr>
        <w:jc w:val="left"/>
      </w:pPr>
      <w:r>
        <w:t>K+B behauptet, einzelne Schweißnähte am KTL-Tauchbecken seien porös und hätten zu Undichtigkeiten geführt. Die Prüfberichte (SNP-2024-112 und der Gesamtprüfbericht SNP-2024-441) zeigen das Gegenteil. Privatgutachter Feldkamp hat die entsprechenden Nähte am 12.03.2026 erneut begutachtet und die Dichtheit bestätigt (Privatgutachten Feldkamp, Anlage K248 — nachgereicht).</w:t>
      </w:r>
    </w:p>
    <w:p/>
    <w:p>
      <w:pPr>
        <w:pStyle w:val="Heading2"/>
      </w:pPr>
      <w:r>
        <w:rPr>
          <w:rFonts w:ascii="Times New Roman" w:hAnsi="Times New Roman"/>
        </w:rPr>
        <w:t>Einreichungsstrategie</w:t>
      </w:r>
    </w:p>
    <w:p>
      <w:pPr>
        <w:jc w:val="left"/>
      </w:pPr>
      <w:r>
        <w:t>Die 441 Schweißnahtprotokolle stellen 441 × ca. 4 Seiten = ca. 1.764 Druckseiten dar. Im LG-Verfahren werden nur K66–K75 (10 Protokolle = ca. 40 Seiten) eingereicht. Das Nachlagenkonvolut enthält die übrigen 431 Protokolle digital. Im DIS-Schiedsverfahren wurden dagegen alle 441 Protokolle auf USB-Stick hinterlegt (auf ausdrückliche Anforderung des Schiedsgerichts, Verfahrensanordnung Nr. 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