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Anlagenkorrektur und Einreichung nach § 139 ZPO — Richterlicher Hinweis</w:t>
      </w:r>
    </w:p>
    <w:p>
      <w:pPr>
        <w:jc w:val="left"/>
      </w:pPr>
      <w:r>
        <w:t>Datum: 8. April 2026</w:t>
      </w:r>
    </w:p>
    <w:p>
      <w:pPr>
        <w:jc w:val="left"/>
      </w:pPr>
      <w:r>
        <w:t>Bearbeiter: RA Dr. Bertram Söhnchen LL.M.</w:t>
      </w:r>
    </w:p>
    <w:p>
      <w:pPr>
        <w:jc w:val="left"/>
      </w:pPr>
      <w:r>
        <w:t>Az.: 11 O 188/26 (LG Aachen)</w:t>
      </w:r>
    </w:p>
    <w:p/>
    <w:p>
      <w:pPr>
        <w:pStyle w:val="Heading2"/>
      </w:pPr>
      <w:r>
        <w:rPr>
          <w:rFonts w:ascii="Times New Roman" w:hAnsi="Times New Roman"/>
        </w:rPr>
        <w:t>Richterlicher Hinweis vom 25. März 2026</w:t>
      </w:r>
    </w:p>
    <w:p>
      <w:pPr>
        <w:jc w:val="left"/>
      </w:pPr>
      <w:r>
        <w:t>In der ersten Güteverhandlung am 25.03.2026 (Protokoll liegt vor, Anlage K250 — nachgereicht) hat VRiLG Dr. Hermanns folgende Hinweise nach § 139 ZPO (https://dejure.org/gesetze/ZPO/139.html) erteilt:</w:t>
      </w:r>
    </w:p>
    <w:p>
      <w:pPr>
        <w:jc w:val="left"/>
      </w:pPr>
      <w:r>
        <w:rPr>
          <w:b/>
        </w:rPr>
        <w:t>Hinweis 1 — Anlage K38/K38a (Druckversionen)</w:t>
      </w:r>
    </w:p>
    <w:p>
      <w:pPr>
        <w:jc w:val="left"/>
      </w:pPr>
      <w:r>
        <w:t>Das Gericht hat festgestellt, dass die als K38 eingereichte Version des Aufmaßprotokolls (Druckversion 1) von der im OLG-Verfahren als BB 21 eingereichten Version (Druckversion 2) abweicht. Auf Nachfrage des Vorsitzenden hat Dr. Söhnchen erläutert, dass in Druckversion 2 ein Rechenfehler korrigiert wurde. Der Vorsitzende weist darauf hin, dass das Gericht für das LG-Verfahren die aktuelle (korrigierte) Version benötigt. Er gibt Gelegenheit, bis zum 22.04.2026 die korrigierte Anlage K38 einzureichen (Anlage K38a).</w:t>
      </w:r>
    </w:p>
    <w:p>
      <w:pPr>
        <w:jc w:val="left"/>
      </w:pPr>
      <w:r>
        <w:rPr>
          <w:b/>
        </w:rPr>
        <w:t>Hinweis 2 — Anlage K17 (Berichtigungsschriftsatz)</w:t>
      </w:r>
    </w:p>
    <w:p>
      <w:pPr>
        <w:jc w:val="left"/>
      </w:pPr>
      <w:r>
        <w:t>Das Gericht hat die irrtümlich eingereichte und durch Berichtigungsschriftsatz ersetzte Anlage K17 aus der Akte genommen. Der Vorsitzende weist darauf hin, dass der Berichtigungsschriftsatz vom 22.01.2026 prozessual korrekt und ausreichend war. Die korrekte Anlage K17 (Nachtrag Nr. 3) ist nunmehr ordnungsgemäß in der Akte.</w:t>
      </w:r>
    </w:p>
    <w:p>
      <w:pPr>
        <w:jc w:val="left"/>
      </w:pPr>
      <w:r>
        <w:rPr>
          <w:b/>
        </w:rPr>
        <w:t>Hinweis 3 — Anlagenkette § 2 Abs. 3 VOB/B (Mengenmehrung DN200)</w:t>
      </w:r>
    </w:p>
    <w:p>
      <w:pPr>
        <w:jc w:val="left"/>
      </w:pPr>
      <w:r>
        <w:t>Der Vorsitzende weist darauf hin, dass die Klageschrift für Position 1 der Mehrkostenabrechnung (Mehrmengen Stahlrohre DN200, vgl. Aktenstück 13) zwar die Mengenmehrung rechnerisch darstellt, aber nicht aufzeigt, auf welche konkrete Vertragsgrundlage (Leistungsverzeichnis-Position, Aufmaßvereinbarung) sich die behauptete Soll-Menge von 2.240 m stützt. Der Vorsitzende gibt Gelegenheit, bis 22.04.2026 eine ergänzende Erläuterung (mit Anlage) einzureichen, die die Vertragsgrundlage klar belegt.</w:t>
      </w:r>
    </w:p>
    <w:p>
      <w:pPr>
        <w:jc w:val="left"/>
      </w:pPr>
      <w:r>
        <w:rPr>
          <w:b/>
        </w:rPr>
        <w:t>Hinweis 4 — Anlagen K181–K227 (Mehrkosten-Nachweise)</w:t>
      </w:r>
    </w:p>
    <w:p>
      <w:pPr>
        <w:jc w:val="left"/>
      </w:pPr>
      <w:r>
        <w:t>Der Vorsitzende bemängelt, dass die Anlagen K181–K227 (Mehrkostennachweise) nicht nach Nachtragspositionen gegliedert sind, sondern chronologisch. Er bittet um Vorlage eines neu gegliederten Anlagenverzeichnisses für diese Gruppe, das die Zuordnung jeder Anlage zu einer Nachtragsnummer zeigt.</w:t>
      </w:r>
    </w:p>
    <w:p/>
    <w:p>
      <w:pPr>
        <w:pStyle w:val="Heading2"/>
      </w:pPr>
      <w:r>
        <w:rPr>
          <w:rFonts w:ascii="Times New Roman" w:hAnsi="Times New Roman"/>
        </w:rPr>
        <w:t>Reaktion der Kanzlei</w:t>
      </w:r>
    </w:p>
    <w:p>
      <w:pPr>
        <w:pStyle w:val="Heading3"/>
      </w:pPr>
      <w:r>
        <w:rPr>
          <w:rFonts w:ascii="Times New Roman" w:hAnsi="Times New Roman"/>
        </w:rPr>
        <w:t>Maßnahme zu Hinweis 1</w:t>
      </w:r>
    </w:p>
    <w:p>
      <w:pPr>
        <w:jc w:val="left"/>
      </w:pPr>
      <w:r>
        <w:t>Stang überprüft Druckversion 2 des Aufmaßprotokolls K38. Der korrigierte Betrag in Version 2 (81.420 EUR) übersteigt den in Version 1 angegebenen Betrag (79.180 EUR) um 2.240 EUR — eine für die Klageforderung günstige Korrektur. Version 2 wird als K38a eingereicht (Fristgerecht bis 22.04.2026).</w:t>
      </w:r>
    </w:p>
    <w:p>
      <w:pPr>
        <w:pStyle w:val="Heading3"/>
      </w:pPr>
      <w:r>
        <w:rPr>
          <w:rFonts w:ascii="Times New Roman" w:hAnsi="Times New Roman"/>
        </w:rPr>
        <w:t>Maßnahme zu Hinweis 3</w:t>
      </w:r>
    </w:p>
    <w:p>
      <w:pPr>
        <w:jc w:val="left"/>
      </w:pPr>
      <w:r>
        <w:t>Die Leistungsverzeichnis-Position 3.4.2 (Rohrleitung DN200 PN16, laut LV 2.240 m, Einheitspreis 48 EUR/m) wird aus dem als K1 eingereichten Leistungsverzeichnis herausgelöst und als gesonderte Anlage K38b eingereicht — mit einem erläuternden Absatz im ergänzenden Schriftsatz, der den Vertragsinhalt darstellt.</w:t>
      </w:r>
    </w:p>
    <w:p>
      <w:pPr>
        <w:pStyle w:val="Heading3"/>
      </w:pPr>
      <w:r>
        <w:rPr>
          <w:rFonts w:ascii="Times New Roman" w:hAnsi="Times New Roman"/>
        </w:rPr>
        <w:t>Maßnahme zu Hinweis 4</w:t>
      </w:r>
    </w:p>
    <w:p>
      <w:pPr>
        <w:jc w:val="left"/>
      </w:pPr>
      <w:r>
        <w:t xml:space="preserve">Das Anlagenverzeichnis für K181–K227 wird nach Nachtragsnummern neu gegliedert und als überarbeitetes Anlagenverzeichnis (Version 2) beim Gericht eingereicht. Die DOCX-Datei </w:t>
      </w:r>
      <w:r>
        <w:t>anlagenverzeichnis_lg_aachen_11_o_188_26.docx</w:t>
      </w:r>
      <w:r>
        <w:t xml:space="preserve"> wird entsprechend aktualisiert (Version 2.0 vom 22.04.2026).</w:t>
      </w:r>
    </w:p>
    <w:p/>
    <w:p>
      <w:pPr>
        <w:pStyle w:val="Heading2"/>
      </w:pPr>
      <w:r>
        <w:rPr>
          <w:rFonts w:ascii="Times New Roman" w:hAnsi="Times New Roman"/>
        </w:rPr>
        <w:t>§ 139 ZPO: Bedeutung für die Anlagenstrategie</w:t>
      </w:r>
    </w:p>
    <w:p>
      <w:pPr>
        <w:jc w:val="left"/>
      </w:pPr>
      <w:r>
        <w:t>§ 139 ZPO (https://dejure.org/gesetze/ZPO/139.html) verpflichtet das Gericht, auf rechtliche und tatsächliche Gesichtspunkte hinzuweisen, die den Parteien offenbar übersehen wurden. Die richterlichen Hinweise in diesem Verfahren sind typisch für komplexe Bausachen: Das Gericht ist auf ein handhabbares, klar gegliedertes Anlagenkonvolut angewiesen und wird regelmäßig auf Strukturierungsdefizite hinweisen.</w:t>
      </w:r>
    </w:p>
    <w:p>
      <w:pPr>
        <w:jc w:val="left"/>
      </w:pPr>
      <w:r>
        <w:t>Dr. Söhnchen bewertet die vier Hinweise als handhabbar und prozessual unkritisch. Kein Hinweis deutet auf substanzielle Schwächen der Klageforderung hin; alle betreffen die Präsentation, nicht den Inhalt.</w:t>
      </w:r>
    </w:p>
    <w:p>
      <w:pPr>
        <w:jc w:val="left"/>
      </w:pPr>
      <w:r>
        <w:rPr>
          <w:b/>
        </w:rPr>
        <w:t>Lehre für künftige Verfahren</w:t>
      </w:r>
      <w:r>
        <w:t>: In komplexen Bausachen sollte das Anlagenverzeichnis vor Einreichung von einem erfahrenen Baurechts-Kollegen geprüft werden — nicht nur auf Vollständigkeit, sondern auf Gliederungslogik aus Gerichtsperspektive. Die Anlagengliederung sollte die Anspruchspositionen der Klageschrift spiegeln, nicht die interne Dokumentenstruktur des Mandanten.</w:t>
      </w:r>
    </w:p>
    <w:p/>
    <w:p>
      <w:pPr>
        <w:pStyle w:val="Heading2"/>
      </w:pPr>
      <w:r>
        <w:rPr>
          <w:rFonts w:ascii="Times New Roman" w:hAnsi="Times New Roman"/>
        </w:rPr>
        <w:t>Zwischenbilanz Verfahrensstand (08.04.2026)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Anlageneinreichung K1–K247</w:t>
            </w:r>
          </w:p>
        </w:tc>
        <w:tc>
          <w:tcPr>
            <w:tcW w:type="dxa" w:w="4536"/>
          </w:tcPr>
          <w:p>
            <w:r>
              <w:rPr>
                <w:rFonts w:ascii="Times New Roman" w:hAnsi="Times New Roman"/>
                <w:sz w:val="20"/>
              </w:rPr>
              <w:t>Vollständig; K38a, K38b, K248, K249 nachzureichen</w:t>
            </w:r>
          </w:p>
        </w:tc>
      </w:tr>
      <w:tr>
        <w:tc>
          <w:tcPr>
            <w:tcW w:type="dxa" w:w="4536"/>
          </w:tcPr>
          <w:p>
            <w:r>
              <w:rPr>
                <w:rFonts w:ascii="Times New Roman" w:hAnsi="Times New Roman"/>
                <w:sz w:val="20"/>
              </w:rPr>
              <w:t>Berichtigungsschriftsatz K17</w:t>
            </w:r>
          </w:p>
        </w:tc>
        <w:tc>
          <w:tcPr>
            <w:tcW w:type="dxa" w:w="4536"/>
          </w:tcPr>
          <w:p>
            <w:r>
              <w:rPr>
                <w:rFonts w:ascii="Times New Roman" w:hAnsi="Times New Roman"/>
                <w:sz w:val="20"/>
              </w:rPr>
              <w:t>Abgeschlossen</w:t>
            </w:r>
          </w:p>
        </w:tc>
      </w:tr>
      <w:tr>
        <w:tc>
          <w:tcPr>
            <w:tcW w:type="dxa" w:w="4536"/>
          </w:tcPr>
          <w:p>
            <w:r>
              <w:rPr>
                <w:rFonts w:ascii="Times New Roman" w:hAnsi="Times New Roman"/>
                <w:sz w:val="20"/>
              </w:rPr>
              <w:t>XJustiz-Hashprobleme</w:t>
            </w:r>
          </w:p>
        </w:tc>
        <w:tc>
          <w:tcPr>
            <w:tcW w:type="dxa" w:w="4536"/>
          </w:tcPr>
          <w:p>
            <w:r>
              <w:rPr>
                <w:rFonts w:ascii="Times New Roman" w:hAnsi="Times New Roman"/>
                <w:sz w:val="20"/>
              </w:rPr>
              <w:t>Behoben (Aktenstück 05)</w:t>
            </w:r>
          </w:p>
        </w:tc>
      </w:tr>
      <w:tr>
        <w:tc>
          <w:tcPr>
            <w:tcW w:type="dxa" w:w="4536"/>
          </w:tcPr>
          <w:p>
            <w:r>
              <w:rPr>
                <w:rFonts w:ascii="Times New Roman" w:hAnsi="Times New Roman"/>
                <w:sz w:val="20"/>
              </w:rPr>
              <w:t>Richterliche Hinweise</w:t>
            </w:r>
          </w:p>
        </w:tc>
        <w:tc>
          <w:tcPr>
            <w:tcW w:type="dxa" w:w="4536"/>
          </w:tcPr>
          <w:p>
            <w:r>
              <w:rPr>
                <w:rFonts w:ascii="Times New Roman" w:hAnsi="Times New Roman"/>
                <w:sz w:val="20"/>
              </w:rPr>
              <w:t>Erhalten; Reaktion bis 22.04.2026</w:t>
            </w:r>
          </w:p>
        </w:tc>
      </w:tr>
      <w:tr>
        <w:tc>
          <w:tcPr>
            <w:tcW w:type="dxa" w:w="4536"/>
          </w:tcPr>
          <w:p>
            <w:r>
              <w:rPr>
                <w:rFonts w:ascii="Times New Roman" w:hAnsi="Times New Roman"/>
                <w:sz w:val="20"/>
              </w:rPr>
              <w:t>Echtheitsstreit K22/K23/K28/K31/K39</w:t>
            </w:r>
          </w:p>
        </w:tc>
        <w:tc>
          <w:tcPr>
            <w:tcW w:type="dxa" w:w="4536"/>
          </w:tcPr>
          <w:p>
            <w:r>
              <w:rPr>
                <w:rFonts w:ascii="Times New Roman" w:hAnsi="Times New Roman"/>
                <w:sz w:val="20"/>
              </w:rPr>
              <w:t>Replik in Vorbereitung (Frist 30.04.2026)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