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Anlage-Kürzungsstrategie und Konzentration</w:t>
      </w:r>
    </w:p>
    <w:p>
      <w:pPr>
        <w:jc w:val="left"/>
      </w:pPr>
      <w:r>
        <w:t>Datum: 5. März 2026</w:t>
      </w:r>
    </w:p>
    <w:p>
      <w:pPr>
        <w:jc w:val="left"/>
      </w:pPr>
      <w:r>
        <w:t>Bearbeiter: RA Dr. Bertram Söhnchen LL.M.</w:t>
      </w:r>
    </w:p>
    <w:p>
      <w:pPr>
        <w:jc w:val="left"/>
      </w:pPr>
      <w:r>
        <w:t>Az.: 11 O 188/26, 14 U 22/26, DIS-SV-2026/088</w:t>
      </w:r>
    </w:p>
    <w:p/>
    <w:p>
      <w:pPr>
        <w:pStyle w:val="Heading2"/>
      </w:pPr>
      <w:r>
        <w:rPr>
          <w:rFonts w:ascii="Times New Roman" w:hAnsi="Times New Roman"/>
        </w:rPr>
        <w:t>Ausgangsproblem</w:t>
      </w:r>
    </w:p>
    <w:p>
      <w:pPr>
        <w:jc w:val="left"/>
      </w:pPr>
      <w:r>
        <w:t>3.847 Anlagen vorzulegen ist — im technischen Sinne — möglich. Prozessrechtlich und praktisch ist es unklug. Das Gericht hat weder Zeit noch Kapazität, 3.847 Einzeldokumente zu sichten, bevor es einen Beweisbeschluss erlässt. Eine Flut von Anlagen kann die Klageforderung strukturell schwächen, weil das Gericht die Schlüsseldokumente nicht identifizieren kann.</w:t>
      </w:r>
    </w:p>
    <w:p>
      <w:pPr>
        <w:jc w:val="left"/>
      </w:pPr>
      <w:r>
        <w:t xml:space="preserve">Dr. Söhnchen hat daher eine </w:t>
      </w:r>
      <w:r>
        <w:rPr>
          <w:b/>
        </w:rPr>
        <w:t>Kürzungsstrategie</w:t>
      </w:r>
      <w:r>
        <w:t xml:space="preserve"> entwickelt, die sicherstellt, dass die Klageforderung aus den K1–K247 allein vollständig substantiiert ist — und das Nachlagenkonvolut als Reserve für Bestreiten durch K+B und für richterliche Anforderung bereitsteht.</w:t>
      </w:r>
    </w:p>
    <w:p/>
    <w:p>
      <w:pPr>
        <w:pStyle w:val="Heading2"/>
      </w:pPr>
      <w:r>
        <w:rPr>
          <w:rFonts w:ascii="Times New Roman" w:hAnsi="Times New Roman"/>
        </w:rPr>
        <w:t>Prinzipien der Kürzungsstrategie</w:t>
      </w:r>
    </w:p>
    <w:p>
      <w:pPr>
        <w:pStyle w:val="Heading3"/>
      </w:pPr>
      <w:r>
        <w:rPr>
          <w:rFonts w:ascii="Times New Roman" w:hAnsi="Times New Roman"/>
        </w:rPr>
        <w:t>Prinzip 1: Anspruchspositionsbindung</w:t>
      </w:r>
    </w:p>
    <w:p>
      <w:pPr>
        <w:jc w:val="left"/>
      </w:pPr>
      <w:r>
        <w:t>Jede der 247 Anlagen ist explizit einer oder mehreren Anspruchspositionen (§ 631 BGB, § 2 Abs. 3 VOB/B, § 8 Abs. 2 VOB/B) zugeordnet. Anlagen ohne klare Anspruchszuordnung kommen nicht ins Gerichtskonvolut (wandern ins Nachlagenkonvolut). Dieses Prinzip führt dazu, dass z.B. von 842 CAD-Plänen nur 12 als K-Anlage eingereicht werden — nämlich diejenigen 12, auf die in der Klageschrift im Text Bezug genommen wird.</w:t>
      </w:r>
    </w:p>
    <w:p>
      <w:pPr>
        <w:pStyle w:val="Heading3"/>
      </w:pPr>
      <w:r>
        <w:rPr>
          <w:rFonts w:ascii="Times New Roman" w:hAnsi="Times New Roman"/>
        </w:rPr>
        <w:t>Prinzip 2: Repräsentativitätsprinzip</w:t>
      </w:r>
    </w:p>
    <w:p>
      <w:pPr>
        <w:jc w:val="left"/>
      </w:pPr>
      <w:r>
        <w:t xml:space="preserve">Bei Mengenbelegen (Lieferscheine, Wiegescheine) wird nicht jedes Einzeldokument eingereicht, sondern eine repräsentative Auswahl mit statistischer Hochrechnung. Die Klageschrift enthält folgenden Satz (formuliert von Dr. Söhnchen): </w:t>
      </w:r>
      <w:r>
        <w:rPr>
          <w:i/>
        </w:rPr>
        <w:t>„Die Anlage K81 bis K110 enthält eine repräsentative Auswahl von 30 Lieferscheinen aus insgesamt 923 vorliegenden Lieferscheinen. Die in diesen 30 Lieferscheinen dokumentierten Mengen entsprechen in ihrer anteiligen Verteilung dem Gesamtdurchschnitt aller 923 Lieferscheine; die vollständige Lieferscheinliste (NL-0001 bis NL-0923) steht dem Gericht auf Anforderung zur Verfügung."</w:t>
      </w:r>
    </w:p>
    <w:p>
      <w:pPr>
        <w:pStyle w:val="Heading3"/>
      </w:pPr>
      <w:r>
        <w:rPr>
          <w:rFonts w:ascii="Times New Roman" w:hAnsi="Times New Roman"/>
        </w:rPr>
        <w:t>Prinzip 3: Querschlagsfreiheit</w:t>
      </w:r>
    </w:p>
    <w:p>
      <w:pPr>
        <w:jc w:val="left"/>
      </w:pPr>
      <w:r>
        <w:t>Kein Dokument im K-Konvolut darf einem anderen Dokument im K-Konvolut widersprechen. Dies erfordert intensive Vorprüfung: Stimmen die Mengenangaben in den Aufmaßprotokollen mit den Lieferscheinen überein? Stimmen die Datumsangaben im Bautagebuch mit den Protokolldaten überein? Stang hat hierfür eine Querschlags-Checkliste (100 Prüfpunkte) erstellt.</w:t>
      </w:r>
    </w:p>
    <w:p>
      <w:pPr>
        <w:pStyle w:val="Heading3"/>
      </w:pPr>
      <w:r>
        <w:rPr>
          <w:rFonts w:ascii="Times New Roman" w:hAnsi="Times New Roman"/>
        </w:rPr>
        <w:t>Prinzip 4: Hierarchische Einreichung</w:t>
      </w:r>
    </w:p>
    <w:p>
      <w:pPr>
        <w:jc w:val="left"/>
      </w:pPr>
      <w:r>
        <w:t>Zunächst werden nur die K-Anlagen eingereicht. Auf Nachforderung durch das Gericht oder auf Bestreiten durch K+B werden gezielt NL-Anlagen nachgereicht. Dieses schrittweise Vorgehen hält das Gerichtskonvolut überschaubar und demonstriert gleichzeitig die Vollständigkeit der Dokumentation im Hintergrund.</w:t>
      </w:r>
    </w:p>
    <w:p/>
    <w:p>
      <w:pPr>
        <w:pStyle w:val="Heading2"/>
      </w:pPr>
      <w:r>
        <w:rPr>
          <w:rFonts w:ascii="Times New Roman" w:hAnsi="Times New Roman"/>
        </w:rPr>
        <w:t>Ergebnis der Kürzung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Dokumenttyp</w:t>
            </w:r>
          </w:p>
        </w:tc>
        <w:tc>
          <w:tcPr>
            <w:tcW w:type="dxa" w:w="2268"/>
          </w:tcPr>
          <w:p>
            <w:r>
              <w:rPr>
                <w:rFonts w:ascii="Times New Roman" w:hAnsi="Times New Roman"/>
                <w:b/>
                <w:sz w:val="20"/>
              </w:rPr>
              <w:t>Gesamt</w:t>
            </w:r>
          </w:p>
        </w:tc>
        <w:tc>
          <w:tcPr>
            <w:tcW w:type="dxa" w:w="2268"/>
          </w:tcPr>
          <w:p>
            <w:r>
              <w:rPr>
                <w:rFonts w:ascii="Times New Roman" w:hAnsi="Times New Roman"/>
                <w:b/>
                <w:sz w:val="20"/>
              </w:rPr>
              <w:t>Im K-Konvolut</w:t>
            </w:r>
          </w:p>
        </w:tc>
        <w:tc>
          <w:tcPr>
            <w:tcW w:type="dxa" w:w="2268"/>
          </w:tcPr>
          <w:p>
            <w:r>
              <w:rPr>
                <w:rFonts w:ascii="Times New Roman" w:hAnsi="Times New Roman"/>
                <w:b/>
                <w:sz w:val="20"/>
              </w:rPr>
              <w:t>Reduktionsrate</w:t>
            </w:r>
          </w:p>
        </w:tc>
      </w:tr>
      <w:tr>
        <w:tc>
          <w:tcPr>
            <w:tcW w:type="dxa" w:w="2268"/>
          </w:tcPr>
          <w:p>
            <w:r>
              <w:rPr>
                <w:rFonts w:ascii="Times New Roman" w:hAnsi="Times New Roman"/>
                <w:sz w:val="20"/>
              </w:rPr>
              <w:t>CAD-Pläne</w:t>
            </w:r>
          </w:p>
        </w:tc>
        <w:tc>
          <w:tcPr>
            <w:tcW w:type="dxa" w:w="2268"/>
          </w:tcPr>
          <w:p>
            <w:r>
              <w:rPr>
                <w:rFonts w:ascii="Times New Roman" w:hAnsi="Times New Roman"/>
                <w:sz w:val="20"/>
              </w:rPr>
              <w:t>842</w:t>
            </w:r>
          </w:p>
        </w:tc>
        <w:tc>
          <w:tcPr>
            <w:tcW w:type="dxa" w:w="2268"/>
          </w:tcPr>
          <w:p>
            <w:r>
              <w:rPr>
                <w:rFonts w:ascii="Times New Roman" w:hAnsi="Times New Roman"/>
                <w:sz w:val="20"/>
              </w:rPr>
              <w:t>12</w:t>
            </w:r>
          </w:p>
        </w:tc>
        <w:tc>
          <w:tcPr>
            <w:tcW w:type="dxa" w:w="2268"/>
          </w:tcPr>
          <w:p>
            <w:r>
              <w:rPr>
                <w:rFonts w:ascii="Times New Roman" w:hAnsi="Times New Roman"/>
                <w:sz w:val="20"/>
              </w:rPr>
              <w:t>98,6 %</w:t>
            </w:r>
          </w:p>
        </w:tc>
      </w:tr>
      <w:tr>
        <w:tc>
          <w:tcPr>
            <w:tcW w:type="dxa" w:w="2268"/>
          </w:tcPr>
          <w:p>
            <w:r>
              <w:rPr>
                <w:rFonts w:ascii="Times New Roman" w:hAnsi="Times New Roman"/>
                <w:sz w:val="20"/>
              </w:rPr>
              <w:t>Bautagebuchauszüge</w:t>
            </w:r>
          </w:p>
        </w:tc>
        <w:tc>
          <w:tcPr>
            <w:tcW w:type="dxa" w:w="2268"/>
          </w:tcPr>
          <w:p>
            <w:r>
              <w:rPr>
                <w:rFonts w:ascii="Times New Roman" w:hAnsi="Times New Roman"/>
                <w:sz w:val="20"/>
              </w:rPr>
              <w:t>214</w:t>
            </w:r>
          </w:p>
        </w:tc>
        <w:tc>
          <w:tcPr>
            <w:tcW w:type="dxa" w:w="2268"/>
          </w:tcPr>
          <w:p>
            <w:r>
              <w:rPr>
                <w:rFonts w:ascii="Times New Roman" w:hAnsi="Times New Roman"/>
                <w:sz w:val="20"/>
              </w:rPr>
              <w:t>20</w:t>
            </w:r>
          </w:p>
        </w:tc>
        <w:tc>
          <w:tcPr>
            <w:tcW w:type="dxa" w:w="2268"/>
          </w:tcPr>
          <w:p>
            <w:r>
              <w:rPr>
                <w:rFonts w:ascii="Times New Roman" w:hAnsi="Times New Roman"/>
                <w:sz w:val="20"/>
              </w:rPr>
              <w:t>90,7 %</w:t>
            </w:r>
          </w:p>
        </w:tc>
      </w:tr>
      <w:tr>
        <w:tc>
          <w:tcPr>
            <w:tcW w:type="dxa" w:w="2268"/>
          </w:tcPr>
          <w:p>
            <w:r>
              <w:rPr>
                <w:rFonts w:ascii="Times New Roman" w:hAnsi="Times New Roman"/>
                <w:sz w:val="20"/>
              </w:rPr>
              <w:t>Aufmaßprotokolle</w:t>
            </w:r>
          </w:p>
        </w:tc>
        <w:tc>
          <w:tcPr>
            <w:tcW w:type="dxa" w:w="2268"/>
          </w:tcPr>
          <w:p>
            <w:r>
              <w:rPr>
                <w:rFonts w:ascii="Times New Roman" w:hAnsi="Times New Roman"/>
                <w:sz w:val="20"/>
              </w:rPr>
              <w:t>387</w:t>
            </w:r>
          </w:p>
        </w:tc>
        <w:tc>
          <w:tcPr>
            <w:tcW w:type="dxa" w:w="2268"/>
          </w:tcPr>
          <w:p>
            <w:r>
              <w:rPr>
                <w:rFonts w:ascii="Times New Roman" w:hAnsi="Times New Roman"/>
                <w:sz w:val="20"/>
              </w:rPr>
              <w:t>30</w:t>
            </w:r>
          </w:p>
        </w:tc>
        <w:tc>
          <w:tcPr>
            <w:tcW w:type="dxa" w:w="2268"/>
          </w:tcPr>
          <w:p>
            <w:r>
              <w:rPr>
                <w:rFonts w:ascii="Times New Roman" w:hAnsi="Times New Roman"/>
                <w:sz w:val="20"/>
              </w:rPr>
              <w:t>92,2 %</w:t>
            </w:r>
          </w:p>
        </w:tc>
      </w:tr>
      <w:tr>
        <w:tc>
          <w:tcPr>
            <w:tcW w:type="dxa" w:w="2268"/>
          </w:tcPr>
          <w:p>
            <w:r>
              <w:rPr>
                <w:rFonts w:ascii="Times New Roman" w:hAnsi="Times New Roman"/>
                <w:sz w:val="20"/>
              </w:rPr>
              <w:t>Lieferscheine</w:t>
            </w:r>
          </w:p>
        </w:tc>
        <w:tc>
          <w:tcPr>
            <w:tcW w:type="dxa" w:w="2268"/>
          </w:tcPr>
          <w:p>
            <w:r>
              <w:rPr>
                <w:rFonts w:ascii="Times New Roman" w:hAnsi="Times New Roman"/>
                <w:sz w:val="20"/>
              </w:rPr>
              <w:t>923</w:t>
            </w:r>
          </w:p>
        </w:tc>
        <w:tc>
          <w:tcPr>
            <w:tcW w:type="dxa" w:w="2268"/>
          </w:tcPr>
          <w:p>
            <w:r>
              <w:rPr>
                <w:rFonts w:ascii="Times New Roman" w:hAnsi="Times New Roman"/>
                <w:sz w:val="20"/>
              </w:rPr>
              <w:t>30</w:t>
            </w:r>
          </w:p>
        </w:tc>
        <w:tc>
          <w:tcPr>
            <w:tcW w:type="dxa" w:w="2268"/>
          </w:tcPr>
          <w:p>
            <w:r>
              <w:rPr>
                <w:rFonts w:ascii="Times New Roman" w:hAnsi="Times New Roman"/>
                <w:sz w:val="20"/>
              </w:rPr>
              <w:t>96,7 %</w:t>
            </w:r>
          </w:p>
        </w:tc>
      </w:tr>
      <w:tr>
        <w:tc>
          <w:tcPr>
            <w:tcW w:type="dxa" w:w="2268"/>
          </w:tcPr>
          <w:p>
            <w:r>
              <w:rPr>
                <w:rFonts w:ascii="Times New Roman" w:hAnsi="Times New Roman"/>
                <w:sz w:val="20"/>
              </w:rPr>
              <w:t>Wiegescheine</w:t>
            </w:r>
          </w:p>
        </w:tc>
        <w:tc>
          <w:tcPr>
            <w:tcW w:type="dxa" w:w="2268"/>
          </w:tcPr>
          <w:p>
            <w:r>
              <w:rPr>
                <w:rFonts w:ascii="Times New Roman" w:hAnsi="Times New Roman"/>
                <w:sz w:val="20"/>
              </w:rPr>
              <w:t>312</w:t>
            </w:r>
          </w:p>
        </w:tc>
        <w:tc>
          <w:tcPr>
            <w:tcW w:type="dxa" w:w="2268"/>
          </w:tcPr>
          <w:p>
            <w:r>
              <w:rPr>
                <w:rFonts w:ascii="Times New Roman" w:hAnsi="Times New Roman"/>
                <w:sz w:val="20"/>
              </w:rPr>
              <w:t>15</w:t>
            </w:r>
          </w:p>
        </w:tc>
        <w:tc>
          <w:tcPr>
            <w:tcW w:type="dxa" w:w="2268"/>
          </w:tcPr>
          <w:p>
            <w:r>
              <w:rPr>
                <w:rFonts w:ascii="Times New Roman" w:hAnsi="Times New Roman"/>
                <w:sz w:val="20"/>
              </w:rPr>
              <w:t>95,2 %</w:t>
            </w:r>
          </w:p>
        </w:tc>
      </w:tr>
      <w:tr>
        <w:tc>
          <w:tcPr>
            <w:tcW w:type="dxa" w:w="2268"/>
          </w:tcPr>
          <w:p>
            <w:r>
              <w:rPr>
                <w:rFonts w:ascii="Times New Roman" w:hAnsi="Times New Roman"/>
                <w:sz w:val="20"/>
              </w:rPr>
              <w:t>Schweißnahtprotokolle</w:t>
            </w:r>
          </w:p>
        </w:tc>
        <w:tc>
          <w:tcPr>
            <w:tcW w:type="dxa" w:w="2268"/>
          </w:tcPr>
          <w:p>
            <w:r>
              <w:rPr>
                <w:rFonts w:ascii="Times New Roman" w:hAnsi="Times New Roman"/>
                <w:sz w:val="20"/>
              </w:rPr>
              <w:t>441</w:t>
            </w:r>
          </w:p>
        </w:tc>
        <w:tc>
          <w:tcPr>
            <w:tcW w:type="dxa" w:w="2268"/>
          </w:tcPr>
          <w:p>
            <w:r>
              <w:rPr>
                <w:rFonts w:ascii="Times New Roman" w:hAnsi="Times New Roman"/>
                <w:sz w:val="20"/>
              </w:rPr>
              <w:t>10</w:t>
            </w:r>
          </w:p>
        </w:tc>
        <w:tc>
          <w:tcPr>
            <w:tcW w:type="dxa" w:w="2268"/>
          </w:tcPr>
          <w:p>
            <w:r>
              <w:rPr>
                <w:rFonts w:ascii="Times New Roman" w:hAnsi="Times New Roman"/>
                <w:sz w:val="20"/>
              </w:rPr>
              <w:t>97,7 %</w:t>
            </w:r>
          </w:p>
        </w:tc>
      </w:tr>
      <w:tr>
        <w:tc>
          <w:tcPr>
            <w:tcW w:type="dxa" w:w="2268"/>
          </w:tcPr>
          <w:p>
            <w:r>
              <w:rPr>
                <w:rFonts w:ascii="Times New Roman" w:hAnsi="Times New Roman"/>
                <w:sz w:val="20"/>
              </w:rPr>
              <w:t>FAT/SAT-Reports</w:t>
            </w:r>
          </w:p>
        </w:tc>
        <w:tc>
          <w:tcPr>
            <w:tcW w:type="dxa" w:w="2268"/>
          </w:tcPr>
          <w:p>
            <w:r>
              <w:rPr>
                <w:rFonts w:ascii="Times New Roman" w:hAnsi="Times New Roman"/>
                <w:sz w:val="20"/>
              </w:rPr>
              <w:t>47</w:t>
            </w:r>
          </w:p>
        </w:tc>
        <w:tc>
          <w:tcPr>
            <w:tcW w:type="dxa" w:w="2268"/>
          </w:tcPr>
          <w:p>
            <w:r>
              <w:rPr>
                <w:rFonts w:ascii="Times New Roman" w:hAnsi="Times New Roman"/>
                <w:sz w:val="20"/>
              </w:rPr>
              <w:t>10</w:t>
            </w:r>
          </w:p>
        </w:tc>
        <w:tc>
          <w:tcPr>
            <w:tcW w:type="dxa" w:w="2268"/>
          </w:tcPr>
          <w:p>
            <w:r>
              <w:rPr>
                <w:rFonts w:ascii="Times New Roman" w:hAnsi="Times New Roman"/>
                <w:sz w:val="20"/>
              </w:rPr>
              <w:t>78,7 %</w:t>
            </w:r>
          </w:p>
        </w:tc>
      </w:tr>
      <w:tr>
        <w:tc>
          <w:tcPr>
            <w:tcW w:type="dxa" w:w="2268"/>
          </w:tcPr>
          <w:p>
            <w:r>
              <w:rPr>
                <w:rFonts w:ascii="Times New Roman" w:hAnsi="Times New Roman"/>
                <w:sz w:val="20"/>
              </w:rPr>
              <w:t>Zollpapiere</w:t>
            </w:r>
          </w:p>
        </w:tc>
        <w:tc>
          <w:tcPr>
            <w:tcW w:type="dxa" w:w="2268"/>
          </w:tcPr>
          <w:p>
            <w:r>
              <w:rPr>
                <w:rFonts w:ascii="Times New Roman" w:hAnsi="Times New Roman"/>
                <w:sz w:val="20"/>
              </w:rPr>
              <w:t>198</w:t>
            </w:r>
          </w:p>
        </w:tc>
        <w:tc>
          <w:tcPr>
            <w:tcW w:type="dxa" w:w="2268"/>
          </w:tcPr>
          <w:p>
            <w:r>
              <w:rPr>
                <w:rFonts w:ascii="Times New Roman" w:hAnsi="Times New Roman"/>
                <w:sz w:val="20"/>
              </w:rPr>
              <w:t>15</w:t>
            </w:r>
          </w:p>
        </w:tc>
        <w:tc>
          <w:tcPr>
            <w:tcW w:type="dxa" w:w="2268"/>
          </w:tcPr>
          <w:p>
            <w:r>
              <w:rPr>
                <w:rFonts w:ascii="Times New Roman" w:hAnsi="Times New Roman"/>
                <w:sz w:val="20"/>
              </w:rPr>
              <w:t>92,4 %</w:t>
            </w:r>
          </w:p>
        </w:tc>
      </w:tr>
      <w:tr>
        <w:tc>
          <w:tcPr>
            <w:tcW w:type="dxa" w:w="2268"/>
          </w:tcPr>
          <w:p>
            <w:r>
              <w:rPr>
                <w:rFonts w:ascii="Times New Roman" w:hAnsi="Times New Roman"/>
                <w:sz w:val="20"/>
              </w:rPr>
              <w:t>Konformitätserklärungen</w:t>
            </w:r>
          </w:p>
        </w:tc>
        <w:tc>
          <w:tcPr>
            <w:tcW w:type="dxa" w:w="2268"/>
          </w:tcPr>
          <w:p>
            <w:r>
              <w:rPr>
                <w:rFonts w:ascii="Times New Roman" w:hAnsi="Times New Roman"/>
                <w:sz w:val="20"/>
              </w:rPr>
              <w:t>83</w:t>
            </w:r>
          </w:p>
        </w:tc>
        <w:tc>
          <w:tcPr>
            <w:tcW w:type="dxa" w:w="2268"/>
          </w:tcPr>
          <w:p>
            <w:r>
              <w:rPr>
                <w:rFonts w:ascii="Times New Roman" w:hAnsi="Times New Roman"/>
                <w:sz w:val="20"/>
              </w:rPr>
              <w:t>25</w:t>
            </w:r>
          </w:p>
        </w:tc>
        <w:tc>
          <w:tcPr>
            <w:tcW w:type="dxa" w:w="2268"/>
          </w:tcPr>
          <w:p>
            <w:r>
              <w:rPr>
                <w:rFonts w:ascii="Times New Roman" w:hAnsi="Times New Roman"/>
                <w:sz w:val="20"/>
              </w:rPr>
              <w:t>69,9 %</w:t>
            </w:r>
          </w:p>
        </w:tc>
      </w:tr>
      <w:tr>
        <w:tc>
          <w:tcPr>
            <w:tcW w:type="dxa" w:w="2268"/>
          </w:tcPr>
          <w:p>
            <w:r>
              <w:rPr>
                <w:rFonts w:ascii="Times New Roman" w:hAnsi="Times New Roman"/>
                <w:sz w:val="20"/>
              </w:rPr>
              <w:t>Sicherheitsdatenblätter</w:t>
            </w:r>
          </w:p>
        </w:tc>
        <w:tc>
          <w:tcPr>
            <w:tcW w:type="dxa" w:w="2268"/>
          </w:tcPr>
          <w:p>
            <w:r>
              <w:rPr>
                <w:rFonts w:ascii="Times New Roman" w:hAnsi="Times New Roman"/>
                <w:sz w:val="20"/>
              </w:rPr>
              <w:t>247</w:t>
            </w:r>
          </w:p>
        </w:tc>
        <w:tc>
          <w:tcPr>
            <w:tcW w:type="dxa" w:w="2268"/>
          </w:tcPr>
          <w:p>
            <w:r>
              <w:rPr>
                <w:rFonts w:ascii="Times New Roman" w:hAnsi="Times New Roman"/>
                <w:sz w:val="20"/>
              </w:rPr>
              <w:t>15</w:t>
            </w:r>
          </w:p>
        </w:tc>
        <w:tc>
          <w:tcPr>
            <w:tcW w:type="dxa" w:w="2268"/>
          </w:tcPr>
          <w:p>
            <w:r>
              <w:rPr>
                <w:rFonts w:ascii="Times New Roman" w:hAnsi="Times New Roman"/>
                <w:sz w:val="20"/>
              </w:rPr>
              <w:t>93,9 %</w:t>
            </w:r>
          </w:p>
        </w:tc>
      </w:tr>
      <w:tr>
        <w:tc>
          <w:tcPr>
            <w:tcW w:type="dxa" w:w="2268"/>
          </w:tcPr>
          <w:p>
            <w:r>
              <w:rPr>
                <w:rFonts w:ascii="Times New Roman" w:hAnsi="Times New Roman"/>
                <w:sz w:val="20"/>
              </w:rPr>
              <w:t>Sonstiges</w:t>
            </w:r>
          </w:p>
        </w:tc>
        <w:tc>
          <w:tcPr>
            <w:tcW w:type="dxa" w:w="2268"/>
          </w:tcPr>
          <w:p>
            <w:r>
              <w:rPr>
                <w:rFonts w:ascii="Times New Roman" w:hAnsi="Times New Roman"/>
                <w:sz w:val="20"/>
              </w:rPr>
              <w:t>153</w:t>
            </w:r>
          </w:p>
        </w:tc>
        <w:tc>
          <w:tcPr>
            <w:tcW w:type="dxa" w:w="2268"/>
          </w:tcPr>
          <w:p>
            <w:r>
              <w:rPr>
                <w:rFonts w:ascii="Times New Roman" w:hAnsi="Times New Roman"/>
                <w:sz w:val="20"/>
              </w:rPr>
              <w:t>65</w:t>
            </w:r>
          </w:p>
        </w:tc>
        <w:tc>
          <w:tcPr>
            <w:tcW w:type="dxa" w:w="2268"/>
          </w:tcPr>
          <w:p>
            <w:r>
              <w:rPr>
                <w:rFonts w:ascii="Times New Roman" w:hAnsi="Times New Roman"/>
                <w:sz w:val="20"/>
              </w:rPr>
              <w:t>57,5 %</w:t>
            </w:r>
          </w:p>
        </w:tc>
      </w:tr>
      <w:tr>
        <w:tc>
          <w:tcPr>
            <w:tcW w:type="dxa" w:w="2268"/>
          </w:tcPr>
          <w:p>
            <w:r>
              <w:rPr>
                <w:rFonts w:ascii="Times New Roman" w:hAnsi="Times New Roman"/>
                <w:b/>
                <w:sz w:val="20"/>
              </w:rPr>
              <w:t>Gesamt</w:t>
            </w:r>
          </w:p>
        </w:tc>
        <w:tc>
          <w:tcPr>
            <w:tcW w:type="dxa" w:w="2268"/>
          </w:tcPr>
          <w:p>
            <w:r>
              <w:rPr>
                <w:rFonts w:ascii="Times New Roman" w:hAnsi="Times New Roman"/>
                <w:b/>
                <w:sz w:val="20"/>
              </w:rPr>
              <w:t>3.847</w:t>
            </w:r>
          </w:p>
        </w:tc>
        <w:tc>
          <w:tcPr>
            <w:tcW w:type="dxa" w:w="2268"/>
          </w:tcPr>
          <w:p>
            <w:r>
              <w:rPr>
                <w:rFonts w:ascii="Times New Roman" w:hAnsi="Times New Roman"/>
                <w:b/>
                <w:sz w:val="20"/>
              </w:rPr>
              <w:t>247</w:t>
            </w:r>
          </w:p>
        </w:tc>
        <w:tc>
          <w:tcPr>
            <w:tcW w:type="dxa" w:w="2268"/>
          </w:tcPr>
          <w:p>
            <w:r>
              <w:rPr>
                <w:rFonts w:ascii="Times New Roman" w:hAnsi="Times New Roman"/>
                <w:b/>
                <w:sz w:val="20"/>
              </w:rPr>
              <w:t>93,6 %</w:t>
            </w:r>
          </w:p>
        </w:tc>
      </w:tr>
    </w:tbl>
    <w:p>
      <w:pPr>
        <w:jc w:val="left"/>
      </w:pPr>
      <w:r>
        <w:t>Die Gesamtreduktionsrate von 93,6 % ermöglicht ein handhabbares Gerichtskonvolut, ohne auf Vollständigkeit der Unterliegung zu verzichten.</w:t>
      </w:r>
    </w:p>
    <w:p/>
    <w:p>
      <w:pPr>
        <w:pStyle w:val="Heading2"/>
      </w:pPr>
      <w:r>
        <w:rPr>
          <w:rFonts w:ascii="Times New Roman" w:hAnsi="Times New Roman"/>
        </w:rPr>
        <w:t>Kürzungsstrategie im Schiedsverfahren</w:t>
      </w:r>
    </w:p>
    <w:p>
      <w:pPr>
        <w:jc w:val="left"/>
      </w:pPr>
      <w:r>
        <w:t xml:space="preserve">Das DIS-Schiedsgericht hat einen anderen Ansatz: Es hat in Verfahrensanordnung Nr. 3 ausdrücklich die Vorlage </w:t>
      </w:r>
      <w:r>
        <w:rPr>
          <w:b/>
        </w:rPr>
        <w:t>aller</w:t>
      </w:r>
      <w:r>
        <w:t xml:space="preserve"> einschlägigen Anlagen auf USB-Stick angeordnet. Das bedeutet, dass für das DIS-Verfahren sämtliche 3.847 Dokumente digital bereitgestellt werden müssen (auf USB-Stick), während der Sammelband auf Papier auf 1.847 Seiten (also 247 Anlagen) begrenzt bleibt. Diese hybride Lösung verbindet die Vollständigkeit der digitalen Ablage mit der Handhabbarkeit des physischen Sammelbands.</w:t>
      </w:r>
    </w:p>
    <w:p/>
    <w:p>
      <w:pPr>
        <w:pStyle w:val="Heading2"/>
      </w:pPr>
      <w:r>
        <w:rPr>
          <w:rFonts w:ascii="Times New Roman" w:hAnsi="Times New Roman"/>
        </w:rPr>
        <w:t>Hinweis zur späteren Nachreichung</w:t>
      </w:r>
    </w:p>
    <w:p>
      <w:pPr>
        <w:jc w:val="left"/>
      </w:pPr>
      <w:r>
        <w:t>Sobald K+B konkrete Dokumente bestreitet (z.B. einzelne Lieferscheine oder Wiegescheine), werden die entsprechenden NL-Dokumente gezielt nachgereicht. Dr. Söhnchen hat Stang angewiesen, für jede mögliche Bestreitenssituation ein vorgefertigtes Nachreichungs-Set bereitzuhalten (jeweils 5–10 NL-Anlagen je Nachtragspositon), das innerhalb von 24 Stunden über beA eingereicht werden kann.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