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18 QR-Codes, Querverweise und interner Anlage-Index</w:t>
      </w:r>
    </w:p>
    <w:p>
      <w:pPr>
        <w:jc w:val="left"/>
      </w:pPr>
      <w:r>
        <w:t>Datum: 8. März 2026</w:t>
      </w:r>
    </w:p>
    <w:p>
      <w:pPr>
        <w:jc w:val="left"/>
      </w:pPr>
      <w:r>
        <w:t>Bearbeiter: Wiss. Mitarbeiterin Lea Stang (IT-technische Umsetzung: Fleischer)</w:t>
      </w:r>
    </w:p>
    <w:p>
      <w:pPr>
        <w:jc w:val="left"/>
      </w:pPr>
      <w:r>
        <w:t>Az.: DIS-SV-2026/088; 11 O 188/26</w:t>
      </w:r>
    </w:p>
    <w:p/>
    <w:p>
      <w:pPr>
        <w:pStyle w:val="Heading2"/>
      </w:pPr>
      <w:r>
        <w:rPr>
          <w:rFonts w:ascii="Times New Roman" w:hAnsi="Times New Roman"/>
        </w:rPr>
        <w:t>Konzept des QR-Code-Index</w:t>
      </w:r>
    </w:p>
    <w:p>
      <w:pPr>
        <w:jc w:val="left"/>
      </w:pPr>
      <w:r>
        <w:t>Für den physischen Anlagen-Sammelband des Schiedsgerichts (Aktenstück 17) wurde ein QR-Code-System entwickelt, das die Navigation im 1.847-seitigen Dokument erleichtert:</w:t>
      </w:r>
    </w:p>
    <w:p>
      <w:pPr>
        <w:jc w:val="left"/>
      </w:pPr>
      <w:r>
        <w:t>Jede Anlage trägt auf ihrem Deckblatt:</w:t>
      </w:r>
    </w:p>
    <w:p>
      <w:pPr>
        <w:pStyle w:val="ListNumber"/>
      </w:pPr>
      <w:r>
        <w:rPr>
          <w:b/>
        </w:rPr>
        <w:t>Anlage-Nummer</w:t>
      </w:r>
      <w:r>
        <w:t xml:space="preserve"> (z.B. S-W-038) in großer Schrift</w:t>
      </w:r>
    </w:p>
    <w:p>
      <w:pPr>
        <w:pStyle w:val="ListNumber"/>
      </w:pPr>
      <w:r>
        <w:rPr>
          <w:b/>
        </w:rPr>
        <w:t>Kurzbezeichnung</w:t>
      </w:r>
      <w:r>
        <w:t xml:space="preserve"> (z.B. „Aufmaßprotokoll DN200, Strang A1, 22.05.2024")</w:t>
      </w:r>
    </w:p>
    <w:p>
      <w:pPr>
        <w:pStyle w:val="ListNumber"/>
      </w:pPr>
      <w:r>
        <w:rPr>
          <w:b/>
        </w:rPr>
        <w:t>Seitenposition im Sammelband</w:t>
      </w:r>
      <w:r>
        <w:t xml:space="preserve"> (z.B. „Seiten 412–421 von 1.847")</w:t>
      </w:r>
    </w:p>
    <w:p>
      <w:pPr>
        <w:pStyle w:val="ListNumber"/>
      </w:pPr>
      <w:r>
        <w:rPr>
          <w:b/>
        </w:rPr>
        <w:t>QR-Code</w:t>
      </w:r>
      <w:r>
        <w:t xml:space="preserve"> — verlinkt auf die digitale Version auf dem kanzleieigenen SharePoint (passwortgeschützt; Zugangsdaten werden dem Schiedsgericht separat mitgeteilt)</w:t>
      </w:r>
    </w:p>
    <w:p>
      <w:pPr>
        <w:pStyle w:val="ListNumber"/>
      </w:pPr>
      <w:r>
        <w:rPr>
          <w:b/>
        </w:rPr>
        <w:t>SHA-256-Prüfsumme</w:t>
      </w:r>
      <w:r>
        <w:t xml:space="preserve"> der digitalen Version (8-stelliger Kurzcode, menschenlesbar)</w:t>
      </w:r>
    </w:p>
    <w:p/>
    <w:p>
      <w:pPr>
        <w:pStyle w:val="Heading2"/>
      </w:pPr>
      <w:r>
        <w:rPr>
          <w:rFonts w:ascii="Times New Roman" w:hAnsi="Times New Roman"/>
        </w:rPr>
        <w:t>Technische Umsetzung (QR-Code-Generierung)</w:t>
      </w:r>
    </w:p>
    <w:p>
      <w:pPr>
        <w:jc w:val="left"/>
      </w:pPr>
      <w:r>
        <w:t>Fleischer hat ein Python-Skript entwickelt, das für alle 247 Anlagen automatisch Deckblätter erzeugt:</w:t>
      </w:r>
    </w:p>
    <w:p>
      <w:pPr>
        <w:pStyle w:val="ListBullet"/>
      </w:pPr>
      <w:r>
        <w:t xml:space="preserve">Bibliotheken: </w:t>
      </w:r>
      <w:r>
        <w:t>qrcode</w:t>
      </w:r>
      <w:r>
        <w:t xml:space="preserve">, </w:t>
      </w:r>
      <w:r>
        <w:t>reportlab</w:t>
      </w:r>
      <w:r>
        <w:t xml:space="preserve">, </w:t>
      </w:r>
      <w:r>
        <w:t>hashlib</w:t>
      </w:r>
    </w:p>
    <w:p>
      <w:pPr>
        <w:pStyle w:val="ListBullet"/>
      </w:pPr>
      <w:r>
        <w:t>Input: CSV-Datei mit Anlage-Nummer, Bezeichnung, URL, SHA-256-Hash</w:t>
      </w:r>
    </w:p>
    <w:p>
      <w:pPr>
        <w:pStyle w:val="ListBullet"/>
      </w:pPr>
      <w:r>
        <w:t>Output: 247 PDF-Deckblätter (je 1 Seite, A4)</w:t>
      </w:r>
    </w:p>
    <w:p>
      <w:pPr>
        <w:pStyle w:val="ListBullet"/>
      </w:pPr>
      <w:r>
        <w:t>Gesamtlaufzeit: ca. 4 Minuten</w:t>
      </w:r>
    </w:p>
    <w:p>
      <w:pPr>
        <w:jc w:val="left"/>
      </w:pPr>
      <w:r>
        <w:t>Die Deckblätter werden vor dem Druckauftrag in die Mastersequenz eingefügt (vgl. Aktenstück 17, Schritt 2).</w:t>
      </w:r>
    </w:p>
    <w:p/>
    <w:p>
      <w:pPr>
        <w:pStyle w:val="Heading2"/>
      </w:pPr>
      <w:r>
        <w:rPr>
          <w:rFonts w:ascii="Times New Roman" w:hAnsi="Times New Roman"/>
        </w:rPr>
        <w:t>Querverweissystem im Schriftsatz</w:t>
      </w:r>
    </w:p>
    <w:p>
      <w:pPr>
        <w:jc w:val="left"/>
      </w:pPr>
      <w:r>
        <w:t>Neben den QR-Codes auf den Deckblättern enthält der Schriftsatz selbst ein strukturiertes Querverweissystem. Jeder Verweis auf eine Anlage im Schriftsatztext folgt dem Schema:</w:t>
      </w:r>
    </w:p>
    <w:p>
      <w:pPr>
        <w:ind w:left="567"/>
      </w:pPr>
      <w:r>
        <w:rPr>
          <w:i/>
        </w:rPr>
        <w:t xml:space="preserve">„... ergibt sich aus dem Aufmaßprotokoll vom 22.05.2024 </w:t>
      </w:r>
      <w:r>
        <w:rPr>
          <w:i/>
        </w:rPr>
        <w:t>(S-W-038, Seite 412 des Sammelbands)</w:t>
      </w:r>
      <w:r>
        <w:rPr>
          <w:i/>
        </w:rPr>
        <w:t>..."</w:t>
      </w:r>
    </w:p>
    <w:p>
      <w:pPr>
        <w:jc w:val="left"/>
      </w:pPr>
      <w:r>
        <w:t>Die Seitenangabe bezieht sich auf die Gesamtseitenzählung des gebundenen Sammelbands — nicht auf die Seite innerhalb der Einzelanlage. Dies ermöglicht dem Schiedsrichter, direkt zur richtigen Stelle zu blättern, ohne das Inhaltsverzeichnis zu bemühen.</w:t>
      </w:r>
    </w:p>
    <w:p>
      <w:pPr>
        <w:pStyle w:val="Heading3"/>
      </w:pPr>
      <w:r>
        <w:rPr>
          <w:rFonts w:ascii="Times New Roman" w:hAnsi="Times New Roman"/>
        </w:rPr>
        <w:t>Querverweistabelle (Auszug)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Schriftsatz-Satz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Anlage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Sammelband-Seite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Verweis-Typ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Schriftsatz S. 12, Abs. 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S-W-038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412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Mengenbeleg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Schriftsatz S. 15, Abs.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S-W-014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Vertragsbeleg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Schriftsatz S. 22, Abs. 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S-W-079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833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FAT-Report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Schriftsatz S. 28, Abs. 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S-W-112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1.124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Lieferschein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Schriftsatz S. 35, Abs. 1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S-W-195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1.512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Mehrkostenbeleg</w:t>
            </w:r>
          </w:p>
        </w:tc>
      </w:tr>
    </w:tbl>
    <w:p>
      <w:pPr>
        <w:jc w:val="left"/>
      </w:pPr>
      <w:r>
        <w:t xml:space="preserve">Die vollständige Querverweistabelle (alle 288 Einzelverweise im 48-seitigen Schriftsatz) liegt als Anhang zu </w:t>
      </w:r>
      <w:r>
        <w:t>schiedsgerichtsschriftsatz_dis_anlagenkonvolut.docx</w:t>
      </w:r>
      <w:r>
        <w:t xml:space="preserve"> bei.</w:t>
      </w:r>
    </w:p>
    <w:p/>
    <w:p>
      <w:pPr>
        <w:pStyle w:val="Heading2"/>
      </w:pPr>
      <w:r>
        <w:rPr>
          <w:rFonts w:ascii="Times New Roman" w:hAnsi="Times New Roman"/>
        </w:rPr>
        <w:t>Interner Kanzlei-Index (SharePoint)</w:t>
      </w:r>
    </w:p>
    <w:p>
      <w:pPr>
        <w:jc w:val="left"/>
      </w:pPr>
      <w:r>
        <w:t>Parallel zum physischen Sammelband wird ein digitaler Kanzlei-Index auf dem SharePoint der Kanzlei gepflegt. Der Index ist für alle Kanzleimitglieder zugänglich (nicht öffentlich) und enthält:</w:t>
      </w:r>
    </w:p>
    <w:p>
      <w:pPr>
        <w:pStyle w:val="ListBullet"/>
      </w:pPr>
      <w:r>
        <w:t>Volltext-Suchfunktion über alle 3.847 Dokumente</w:t>
      </w:r>
    </w:p>
    <w:p>
      <w:pPr>
        <w:pStyle w:val="ListBullet"/>
      </w:pPr>
      <w:r>
        <w:t>Filterung nach Dokumenttyp, Datum, Verfahren, Anspruchsposition</w:t>
      </w:r>
    </w:p>
    <w:p>
      <w:pPr>
        <w:pStyle w:val="ListBullet"/>
      </w:pPr>
      <w:r>
        <w:t>Verlinkung zur Anlagenmatrix (Aktenstück 12)</w:t>
      </w:r>
    </w:p>
    <w:p>
      <w:pPr>
        <w:pStyle w:val="ListBullet"/>
      </w:pPr>
      <w:r>
        <w:t>Automatische Benachrichtigung bei Änderungen (E-Mail an Dr. Söhnchen und Stang)</w:t>
      </w:r>
    </w:p>
    <w:p>
      <w:pPr>
        <w:jc w:val="left"/>
      </w:pPr>
      <w:r>
        <w:t>Der SharePoint-Index hat sich im Mandatsverlauf als unverzichtbar erwiesen: Bei der Beantwortung der richterlichen Hinweise (Aktenstück 15) konnte Stang innerhalb von 30 Minuten alle relevanten Dokumente identifizieren und aufbereiten — ein Vorgang, der ohne Index Stunden gedauert hätte.</w:t>
      </w:r>
    </w:p>
    <w:p/>
    <w:p>
      <w:pPr>
        <w:pStyle w:val="Heading2"/>
      </w:pPr>
      <w:r>
        <w:rPr>
          <w:rFonts w:ascii="Times New Roman" w:hAnsi="Times New Roman"/>
        </w:rPr>
        <w:t>Visualisierung (Anlagenindex-Diagramm)</w:t>
      </w:r>
    </w:p>
    <w:p>
      <w:pPr>
        <w:jc w:val="left"/>
      </w:pPr>
      <w:r>
        <w:t xml:space="preserve">Das Diagramm </w:t>
      </w:r>
      <w:r>
        <w:t>anlagenindex_diagramm.jpg</w:t>
      </w:r>
      <w:r>
        <w:t xml:space="preserve"> zeigt schematisch die Struktur des Anlagenkonvoluts:</w:t>
      </w:r>
    </w:p>
    <w:p>
      <w:pPr>
        <w:pStyle w:val="ListBullet"/>
      </w:pPr>
      <w:r>
        <w:t>Kreis-Ebene 1 (innen): 3 Verfahren (LG, OLG, DIS)</w:t>
      </w:r>
    </w:p>
    <w:p>
      <w:pPr>
        <w:pStyle w:val="ListBullet"/>
      </w:pPr>
      <w:r>
        <w:t>Kreis-Ebene 2 (mitte): Anlagengruppen (A: Vertragsgrundlagen, B: Baunachweise, C: Liefernachweise, D: Konformität, E: Mehrkosten)</w:t>
      </w:r>
    </w:p>
    <w:p>
      <w:pPr>
        <w:pStyle w:val="ListBullet"/>
      </w:pPr>
      <w:r>
        <w:t>Kreis-Ebene 3 (außen): Einzelanlagen (K-Nummern / S-W-Nummern)</w:t>
      </w:r>
    </w:p>
    <w:p>
      <w:pPr>
        <w:jc w:val="left"/>
      </w:pPr>
      <w:r>
        <w:t>Dieses Diagramm wird dem Schiedsgericht als zusätzliche Orientierungshilfe auf dem Deckblatt des Sammelbands beigefügt (1 Seite, farbig, Anlage S-W-000 / Frontispiz).</w:t>
      </w:r>
    </w:p>
    <w:p/>
    <w:p>
      <w:pPr>
        <w:pStyle w:val="Heading2"/>
      </w:pPr>
      <w:r>
        <w:rPr>
          <w:rFonts w:ascii="Times New Roman" w:hAnsi="Times New Roman"/>
        </w:rPr>
        <w:t>Bewertung und Ausblick</w:t>
      </w:r>
    </w:p>
    <w:p>
      <w:pPr>
        <w:jc w:val="left"/>
      </w:pPr>
      <w:r>
        <w:t>Das QR-Code-System hat mehrere Vorteile:</w:t>
      </w:r>
    </w:p>
    <w:p>
      <w:pPr>
        <w:pStyle w:val="ListNumber"/>
      </w:pPr>
      <w:r>
        <w:t>Das Schiedsgericht kann jederzeit auf die aktuelle, passwortgeschützte Digitalversion zugreifen — z.B. wenn der Vorsitzende im Büro ist und das Exemplar nicht zur Hand hat.</w:t>
      </w:r>
    </w:p>
    <w:p>
      <w:pPr>
        <w:pStyle w:val="ListNumber"/>
      </w:pPr>
      <w:r>
        <w:t>Bei Nachträgen (nachgereichte Anlagen S-W-248 ff.) werden neue Deckblätter generiert und per Post an das Schiedsgericht gesandt — die digitale Version wird sofort aktualisiert.</w:t>
      </w:r>
    </w:p>
    <w:p>
      <w:pPr>
        <w:pStyle w:val="ListNumber"/>
      </w:pPr>
      <w:r>
        <w:t>Die Prüfsummen auf den Deckblättern ermöglichen die Integritätsprüfung: Das Schiedsgericht kann jederzeit prüfen, ob die physische Anlage mit der Digitalversion übereinstimmt.</w:t>
      </w:r>
    </w:p>
    <w:p>
      <w:pPr>
        <w:jc w:val="left"/>
      </w:pPr>
      <w:r>
        <w:t>Der zeitliche Mehraufwand für das QR-Code-System (ca. 8 Arbeitsstunden Fleischer, 4 Arbeitsstunden Stang) ist angesichts der Komplexität des Verfahrens gut investiert.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