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19 Anlage-Redaktion — Drittinteressen und Geschäftsgeheimnisse</w:t>
      </w:r>
    </w:p>
    <w:p>
      <w:pPr>
        <w:jc w:val="left"/>
      </w:pPr>
      <w:r>
        <w:t>Datum: 15. Februar 2026</w:t>
      </w:r>
    </w:p>
    <w:p>
      <w:pPr>
        <w:jc w:val="left"/>
      </w:pPr>
      <w:r>
        <w:t>Bearbeiter: RA Dr. Bertram Söhnchen LL.M.</w:t>
      </w:r>
    </w:p>
    <w:p>
      <w:pPr>
        <w:jc w:val="left"/>
      </w:pPr>
      <w:r>
        <w:t>Az.: 11 O 188/26, DIS-SV-2026/088</w:t>
      </w:r>
    </w:p>
    <w:p/>
    <w:p>
      <w:pPr>
        <w:pStyle w:val="Heading2"/>
      </w:pPr>
      <w:r>
        <w:rPr>
          <w:rFonts w:ascii="Times New Roman" w:hAnsi="Times New Roman"/>
        </w:rPr>
        <w:t>Problem: Drittinteressen in Anlagen</w:t>
      </w:r>
    </w:p>
    <w:p>
      <w:pPr>
        <w:jc w:val="left"/>
      </w:pPr>
      <w:r>
        <w:t>Das Anlagenkonvolut enthält mehrere Kategorien von Dokumenten, die Informationen Dritter enthalten, die im Verfahren nicht Partei sind. Diese Drittinteressen müssen bei der Einreichung der Anlagen berücksichtigt werden.</w:t>
      </w:r>
    </w:p>
    <w:p/>
    <w:p>
      <w:pPr>
        <w:pStyle w:val="Heading2"/>
      </w:pPr>
      <w:r>
        <w:rPr>
          <w:rFonts w:ascii="Times New Roman" w:hAnsi="Times New Roman"/>
        </w:rPr>
        <w:t>Kategorie 1: Sicherheitsdatenblätter (K166–K180)</w:t>
      </w:r>
    </w:p>
    <w:p>
      <w:pPr>
        <w:jc w:val="left"/>
      </w:pPr>
      <w:r>
        <w:t>Die 247 Sicherheitsdatenblätter betreffen Lacke, Lösungsmittel und Chemikalien verschiedener Hersteller (u.a. BASF Coatings SE, Münster; Akzo Nobel, Amsterdam; PPG Industries, Pittsburgh/USA). Diese Sicherheitsdatenblätter sind zwar teilweise öffentlich zugänglich, enthalten aber in den Abschnitten 9 (Physikalisch-chemische Eigenschaften) und 11 (Toxikologische Angaben) teils proprietäre Formulierungsangaben, die die Hersteller als Geschäftsgeheimnisse nach § 2 Nr. 1 GeschGehG (https://dejure.org/gesetze/GeschGehG/2.html) schützen.</w:t>
      </w:r>
    </w:p>
    <w:p>
      <w:pPr>
        <w:jc w:val="left"/>
      </w:pPr>
      <w:r>
        <w:rPr>
          <w:b/>
        </w:rPr>
        <w:t>Lösung</w:t>
      </w:r>
      <w:r>
        <w:t>: Da Sicherheitsdatenblätter nach REACH-Verordnung (Art. 31 Verordnung (EG) Nr. 1907/2006) ohnehin an professionelle Verwender herauszugeben sind, besteht im Verfahren gegenüber dem Gericht und der Gegenseite keine Geheimhaltungsmöglichkeit. K+B als Generalunternehmer hatte ohnehin Zugang zu diesen SDB. Eine Redaktion ist nicht erforderlich.</w:t>
      </w:r>
    </w:p>
    <w:p/>
    <w:p>
      <w:pPr>
        <w:pStyle w:val="Heading2"/>
      </w:pPr>
      <w:r>
        <w:rPr>
          <w:rFonts w:ascii="Times New Roman" w:hAnsi="Times New Roman"/>
        </w:rPr>
        <w:t>Kategorie 2: Zollpapiere — Preisangaben Shenzhen AutoControl</w:t>
      </w:r>
    </w:p>
    <w:p>
      <w:pPr>
        <w:jc w:val="left"/>
      </w:pPr>
      <w:r>
        <w:t>Die Zollpapiere (K133–K140) enthalten die tatsächlichen Einkaufspreise von Werkmann für die Steuerungsmodule AC-7C. Diese Preise sind Bestandteil des Geschäftsgeheimnisses der Werkmann GmbH (Einkaufskonditionsgeheimnis). Würden sie im Prozess öffentlich zugänglich, könnten Wettbewerber und andere Kunden der Shenzhen AutoControl Rückschlüsse auf Sonderkonditionen ziehen.</w:t>
      </w:r>
    </w:p>
    <w:p>
      <w:pPr>
        <w:jc w:val="left"/>
      </w:pPr>
      <w:r>
        <w:rPr>
          <w:b/>
        </w:rPr>
        <w:t>Lösung</w:t>
      </w:r>
      <w:r>
        <w:t>: Im Schiedsverfahren (DIS-SV-2026/088) besteht eine umfassende Vertraulichkeitsvereinbarung (§ 44 DIS-SchO 2018; alle Parteien und Schiedsrichter sind zur Vertraulichkeit verpflichtet). Die Zollpapiere werden im DIS-Verfahren unredaktiert eingereicht.</w:t>
      </w:r>
    </w:p>
    <w:p>
      <w:pPr>
        <w:jc w:val="left"/>
      </w:pPr>
      <w:r>
        <w:t>Im LG-Verfahren (öffentliches Verfahren, § 169 GVG) wird beantragt, die mündliche Verhandlung für die Erörterung der Einkaufspreise nach § 172 Nr. 2 GVG (https://dejure.org/gesetze/GVG/172.html) auszuschließen. Die Anlagen K133–K140 werden im LG-Verfahren mit redaktierten Preisangaben eingereicht (Schwärzung der Netto-Einkaufspreise). Die unredaktierte Version wird dem Gericht auf Anforderung in versiegeltem Umschlag vorgelegt.</w:t>
      </w:r>
    </w:p>
    <w:p/>
    <w:p>
      <w:pPr>
        <w:pStyle w:val="Heading2"/>
      </w:pPr>
      <w:r>
        <w:rPr>
          <w:rFonts w:ascii="Times New Roman" w:hAnsi="Times New Roman"/>
        </w:rPr>
        <w:t>Kategorie 3: K17-Nachwirkung (BSI-Sicherheitsbericht ProTec)</w:t>
      </w:r>
    </w:p>
    <w:p>
      <w:pPr>
        <w:jc w:val="left"/>
      </w:pPr>
      <w:r>
        <w:t>Der irrtümlich eingereichte BSI-Sicherheitsbericht der ProTec Anlagensicherheit GmbH (Aktenstück 04) ist aus der Gerichtsakte durch gerichtliche Anordnung entfernt worden. Frau Knoops (Geschäftsstelle) hat schriftlich bestätigt, dass das Dokument weder registriert noch der Gegenseite zugestellt wurde. Die Betriebsgeheimnis-Problematik der ProTec ist damit — soweit das LG-Verfahren betrifft — bereinigt.</w:t>
      </w:r>
    </w:p>
    <w:p>
      <w:pPr>
        <w:jc w:val="left"/>
      </w:pPr>
      <w:r>
        <w:t>Für das DMS der Kanzlei: Das ProTec-Dokument wurde aus allen Verfahrensdateien gelöscht und in einem separaten Sicherheitsordner (Zugang nur Dr. Söhnchen) archiviert. Das früheres Mandatsdossier ProTec (PN-2024-019) ist vollständig von der Werkmann-Akte getrennt.</w:t>
      </w:r>
    </w:p>
    <w:p/>
    <w:p>
      <w:pPr>
        <w:pStyle w:val="Heading2"/>
      </w:pPr>
      <w:r>
        <w:rPr>
          <w:rFonts w:ascii="Times New Roman" w:hAnsi="Times New Roman"/>
        </w:rPr>
        <w:t>Kategorie 4: Bautagebuchauszüge — Personenbezogene Daten Dritter</w:t>
      </w:r>
    </w:p>
    <w:p>
      <w:pPr>
        <w:jc w:val="left"/>
      </w:pPr>
      <w:r>
        <w:t>Die Bautagebuchauszüge (K46–K65) enthalten Namen und teils Unterschriften von Subunternehmern, Lohnarbeitern und K+B-Baustellenpersonal. Diese Personen sind nicht Partei. Ihre personenbezogenen Daten genießen Schutz nach Art. 4 DSGVO.</w:t>
      </w:r>
    </w:p>
    <w:p>
      <w:pPr>
        <w:jc w:val="left"/>
      </w:pPr>
      <w:r>
        <w:rPr>
          <w:b/>
        </w:rPr>
        <w:t>Lösung</w:t>
      </w:r>
      <w:r>
        <w:t>: Im Zivilverfahren ist die Vorlage personenbezogener Daten als Beweismittel nach § 26 Abs. 1 S. 1 BDSG (https://dejure.org/gesetze/BDSG/26.html) grundsätzlich zulässig, soweit die Daten zur Ausübung oder Verteidigung von Rechtsansprüchen erforderlich sind (Art. 9 Abs. 2 lit. f DSGVO). Die Angaben zu Drittarbeitnehmern (Vor- und Nachname, Unterschrift) sind für die Echtheitsprüfung der Bautagebuchauszüge prozessrechtlich erforderlich. Eine Redaktion ist nicht angebracht.</w:t>
      </w:r>
    </w:p>
    <w:p>
      <w:pPr>
        <w:jc w:val="left"/>
      </w:pPr>
      <w:r>
        <w:t>Ausnahme: Gesundheitsdaten (ein Eintrag im Bautagebuch vom 12.07.2024 dokumentiert einen Arbeitsunfall mit Verletzungsdetails eines namentlich genannten Lohnarbeiters). Dieser Eintrag wird redaktiert: Name und Verletzungsdetails werden geschwärzt; die für den Beweis relevante Information (Datum, Ort, Arbeitsunterbrechung für den Bereich) bleibt erhalten.</w:t>
      </w:r>
    </w:p>
    <w:p/>
    <w:p>
      <w:pPr>
        <w:pStyle w:val="Heading2"/>
      </w:pPr>
      <w:r>
        <w:rPr>
          <w:rFonts w:ascii="Times New Roman" w:hAnsi="Times New Roman"/>
        </w:rPr>
        <w:t>Kategorie 5: Konformitätserklärungen — Proprietäre Schnittstelleninformationen</w:t>
      </w:r>
    </w:p>
    <w:p>
      <w:pPr>
        <w:jc w:val="left"/>
      </w:pPr>
      <w:r>
        <w:t>Die Konformitätserklärungen der Shenzhen AutoControl (K153–K160) enthalten technische Schnittstellenbeschreibungen der AC-7C-Module. Shenzhen AutoControl hat Dr. Söhnchen darauf hingewiesen, dass diese Informationen Betriebs- und Geschäftsgeheimnisse darstellen und nur im Rahmen des konkreten Verfahrens verwendet werden dürfen.</w:t>
      </w:r>
    </w:p>
    <w:p>
      <w:pPr>
        <w:jc w:val="left"/>
      </w:pPr>
      <w:r>
        <w:rPr>
          <w:b/>
        </w:rPr>
        <w:t>Lösung</w:t>
      </w:r>
      <w:r>
        <w:t>: Die Einreichung im LG-Verfahren ist nach den DSGVO- und GeschGehG-Grundsätzen zulässig. Shenzhen AutoControl hat eine schriftliche Einverständniserklärung für die Verfahrenseinreichung erteilt (Anlage NL-3600). Im OLG- und DIS-Verfahren gilt dieselbe Einwilligung.</w:t>
      </w:r>
    </w:p>
    <w:p/>
    <w:p>
      <w:pPr>
        <w:pStyle w:val="Heading2"/>
      </w:pPr>
      <w:r>
        <w:rPr>
          <w:rFonts w:ascii="Times New Roman" w:hAnsi="Times New Roman"/>
        </w:rPr>
        <w:t>Redaktionsprotokoll</w:t>
      </w:r>
    </w:p>
    <w:p>
      <w:pPr>
        <w:jc w:val="left"/>
      </w:pPr>
      <w:r>
        <w:t>Stang führt ein Redaktionsprotokoll, das für jede redaktierte Anlage festhält:</w:t>
      </w:r>
    </w:p>
    <w:p>
      <w:pPr>
        <w:pStyle w:val="ListBullet"/>
      </w:pPr>
      <w:r>
        <w:t>Welche Information geschwärzt wurde</w:t>
      </w:r>
    </w:p>
    <w:p>
      <w:pPr>
        <w:pStyle w:val="ListBullet"/>
      </w:pPr>
      <w:r>
        <w:t>Warum (Rechtsgrundlage)</w:t>
      </w:r>
    </w:p>
    <w:p>
      <w:pPr>
        <w:pStyle w:val="ListBullet"/>
      </w:pPr>
      <w:r>
        <w:t>Ob eine unredaktierte Version dem Gericht auf Anforderung vorgelegt werden kann</w:t>
      </w:r>
    </w:p>
    <w:p>
      <w:pPr>
        <w:jc w:val="left"/>
      </w:pPr>
      <w:r>
        <w:t>Das Redaktionsprotokoll liegt im Kanzlei-Intranet und wird auf Anforderung des Gerichts vollständig offengelegt.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