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20 Anlagen-Sammelband Vortest — Feedback LG-Richter</w:t>
      </w:r>
    </w:p>
    <w:p>
      <w:pPr>
        <w:jc w:val="left"/>
      </w:pPr>
      <w:r>
        <w:t>Datum: 30. März 2026 (Aktennotiz nach Telefonat)</w:t>
      </w:r>
    </w:p>
    <w:p>
      <w:pPr>
        <w:jc w:val="left"/>
      </w:pPr>
      <w:r>
        <w:t>Bearbeiter: RA Dr. Bertram Söhnchen LL.M.</w:t>
      </w:r>
    </w:p>
    <w:p/>
    <w:p>
      <w:pPr>
        <w:pStyle w:val="Heading2"/>
      </w:pPr>
      <w:r>
        <w:rPr>
          <w:rFonts w:ascii="Times New Roman" w:hAnsi="Times New Roman"/>
        </w:rPr>
        <w:t>Hintergrund</w:t>
      </w:r>
    </w:p>
    <w:p>
      <w:pPr>
        <w:jc w:val="left"/>
      </w:pPr>
      <w:r>
        <w:t>In der Güteverhandlung vom 25.03.2026 (Aktenstück 15) hatte VRiLG Dr. Hermanns im Nachgespräch eine ungewöhnliche, aber in der Praxis nützliche Möglichkeit angeboten: Er sei bereit, vor der nächsten Sitzung einen kurzen informellen Vortest der überarbeiteten Anlagenstruktur durchzuführen, d.h. einen Blick auf das überarbeitete Anlagenverzeichnis (Version 2.0) und die Gliederung der K181–K227-Anlagen zu werfen. Dies sei kein förmliches Verfahren, sondern ein prozessuales Gespräch im Rahmen der Prozessförderungspflicht nach § 139 Abs. 1 ZPO.</w:t>
      </w:r>
    </w:p>
    <w:p>
      <w:pPr>
        <w:jc w:val="left"/>
      </w:pPr>
      <w:r>
        <w:t>Dr. Söhnchen hat dieses Angebot dankend angenommen. Am 30.03.2026 fand ein 20-minütiges Telefonat zwischen Dr. Söhnchen und Dr. Hermanns statt (mit RiLG Dr. Pfeiffer, Beisitzerin).</w:t>
      </w:r>
    </w:p>
    <w:p/>
    <w:p>
      <w:pPr>
        <w:pStyle w:val="Heading2"/>
      </w:pPr>
      <w:r>
        <w:rPr>
          <w:rFonts w:ascii="Times New Roman" w:hAnsi="Times New Roman"/>
        </w:rPr>
        <w:t>Ergebnisse des Vortests</w:t>
      </w:r>
    </w:p>
    <w:p>
      <w:pPr>
        <w:pStyle w:val="Heading3"/>
      </w:pPr>
      <w:r>
        <w:rPr>
          <w:rFonts w:ascii="Times New Roman" w:hAnsi="Times New Roman"/>
        </w:rPr>
        <w:t>Positives Feedback</w:t>
      </w:r>
    </w:p>
    <w:p>
      <w:pPr>
        <w:jc w:val="left"/>
      </w:pPr>
      <w:r>
        <w:rPr>
          <w:b/>
        </w:rPr>
        <w:t>Anlagenverzeichnis Version 2.0</w:t>
      </w:r>
      <w:r>
        <w:t>: Dr. Hermanns bezeichnet die Überarbeitung als „erhebliche Verbesserung". Die Gliederung nach Nachtragspositionen (statt chronologisch) erleichtere das Nachvollziehen des Klagevorbringens erheblich. Er habe die K181–K227-Gruppe anhand der XLSX-Anlagenmatrix kurz überflogen und könne nun den Zusammenhang zwischen Nachtragsnummer, Beleg und Klagforderungsbetrag nachvollziehen.</w:t>
      </w:r>
    </w:p>
    <w:p>
      <w:pPr>
        <w:jc w:val="left"/>
      </w:pPr>
      <w:r>
        <w:rPr>
          <w:b/>
        </w:rPr>
        <w:t>Deckblätter</w:t>
      </w:r>
      <w:r>
        <w:t>: Die Einführung von Deckblättern mit Seitenzahl und Kurzbeschreibung wird ausdrücklich gelobt. Dr. Pfeiffer merkt an, dass dies bei großen Anlagenkonvoluten leider immer noch nicht Standard sei.</w:t>
      </w:r>
    </w:p>
    <w:p>
      <w:pPr>
        <w:pStyle w:val="Heading3"/>
      </w:pPr>
      <w:r>
        <w:rPr>
          <w:rFonts w:ascii="Times New Roman" w:hAnsi="Times New Roman"/>
        </w:rPr>
        <w:t>Kritische Hinweise</w:t>
      </w:r>
    </w:p>
    <w:p>
      <w:pPr>
        <w:jc w:val="left"/>
      </w:pPr>
      <w:r>
        <w:rPr>
          <w:b/>
        </w:rPr>
        <w:t>Anlagen K66–K75 (Schweißnahtprotokolle)</w:t>
      </w:r>
      <w:r>
        <w:t>: Die Richterbank fragt, ob die technische Fachsprache der Schweißnahtprotokolle (DIN-Normen, Nahtklassen, WPS-Nummern) für das Gericht ohne sachverständige Hilfe verständlich ist. Dr. Söhnchen erklärt, dass Privatgutachter Feldkamp eine technische Zusammenfassung (1 Seite A4) erstellt, die als Anlage K75a vorgelegt wird — eine Art Leseanleitung für die Schweißnahtprotokolle.</w:t>
      </w:r>
    </w:p>
    <w:p>
      <w:pPr>
        <w:jc w:val="left"/>
      </w:pPr>
      <w:r>
        <w:rPr>
          <w:b/>
        </w:rPr>
        <w:t>Anlage K38a vs. K38</w:t>
      </w:r>
      <w:r>
        <w:t>: Das Gericht bittet um explizite Kenntlichmachung der Korrektur: Welche Zahl in K38a weicht von K38 ab? Stang erstellt dazu ein kurzes Diff-Dokument (halbe Seite), das die Differenz von 2.240 EUR (81.420 EUR vs. 79.180 EUR) erläutert und die Korrektur dokumentiert.</w:t>
      </w:r>
    </w:p>
    <w:p>
      <w:pPr>
        <w:jc w:val="left"/>
      </w:pPr>
      <w:r>
        <w:rPr>
          <w:b/>
        </w:rPr>
        <w:t>Repräsentativitätsdarstellung</w:t>
      </w:r>
      <w:r>
        <w:t>: Das Gericht fragt, ob die Aussage, dass die 30 eingereichten Lieferscheine (K81–K110) „repräsentativ" für alle 923 seien, statistisch belegt werden kann. Dr. Söhnchen sagt zu, die statistische Methodik (zufällige Stichprobe oder geschichtete Auswahl?) in einem Erläuterungsabschnitt im ergänzenden Schriftsatz darzustellen. Stang erstellt hierfür einen kurzen methodischen Abschnitt (ca. 3 Absätze), der die Auswahl-Methodik (geschichtete Zufallsstichprobe nach Monat und Lieferant) beschreibt.</w:t>
      </w:r>
    </w:p>
    <w:p/>
    <w:p>
      <w:pPr>
        <w:pStyle w:val="Heading2"/>
      </w:pPr>
      <w:r>
        <w:rPr>
          <w:rFonts w:ascii="Times New Roman" w:hAnsi="Times New Roman"/>
        </w:rPr>
        <w:t>Konsequenzen für das Anlagenkonvolut</w:t>
      </w:r>
    </w:p>
    <w:p>
      <w:pPr>
        <w:jc w:val="left"/>
      </w:pPr>
      <w:r>
        <w:t>Die aus dem Vortest resultierenden Korrekturen:</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Maßnahme</w:t>
            </w:r>
          </w:p>
        </w:tc>
        <w:tc>
          <w:tcPr>
            <w:tcW w:type="dxa" w:w="2268"/>
          </w:tcPr>
          <w:p>
            <w:r>
              <w:rPr>
                <w:rFonts w:ascii="Times New Roman" w:hAnsi="Times New Roman"/>
                <w:b/>
                <w:sz w:val="20"/>
              </w:rPr>
              <w:t>Anlage</w:t>
            </w:r>
          </w:p>
        </w:tc>
        <w:tc>
          <w:tcPr>
            <w:tcW w:type="dxa" w:w="2268"/>
          </w:tcPr>
          <w:p>
            <w:r>
              <w:rPr>
                <w:rFonts w:ascii="Times New Roman" w:hAnsi="Times New Roman"/>
                <w:b/>
                <w:sz w:val="20"/>
              </w:rPr>
              <w:t>Frist</w:t>
            </w:r>
          </w:p>
        </w:tc>
        <w:tc>
          <w:tcPr>
            <w:tcW w:type="dxa" w:w="2268"/>
          </w:tcPr>
          <w:p>
            <w:r>
              <w:rPr>
                <w:rFonts w:ascii="Times New Roman" w:hAnsi="Times New Roman"/>
                <w:b/>
                <w:sz w:val="20"/>
              </w:rPr>
              <w:t>Verantwortlich</w:t>
            </w:r>
          </w:p>
        </w:tc>
      </w:tr>
      <w:tr>
        <w:tc>
          <w:tcPr>
            <w:tcW w:type="dxa" w:w="2268"/>
          </w:tcPr>
          <w:p>
            <w:r>
              <w:rPr>
                <w:rFonts w:ascii="Times New Roman" w:hAnsi="Times New Roman"/>
                <w:sz w:val="20"/>
              </w:rPr>
              <w:t>Technische Zusammenfassung Schweißnahtprotokolle</w:t>
            </w:r>
          </w:p>
        </w:tc>
        <w:tc>
          <w:tcPr>
            <w:tcW w:type="dxa" w:w="2268"/>
          </w:tcPr>
          <w:p>
            <w:r>
              <w:rPr>
                <w:rFonts w:ascii="Times New Roman" w:hAnsi="Times New Roman"/>
                <w:sz w:val="20"/>
              </w:rPr>
              <w:t>K75a</w:t>
            </w:r>
          </w:p>
        </w:tc>
        <w:tc>
          <w:tcPr>
            <w:tcW w:type="dxa" w:w="2268"/>
          </w:tcPr>
          <w:p>
            <w:r>
              <w:rPr>
                <w:rFonts w:ascii="Times New Roman" w:hAnsi="Times New Roman"/>
                <w:sz w:val="20"/>
              </w:rPr>
              <w:t>22.04.2026</w:t>
            </w:r>
          </w:p>
        </w:tc>
        <w:tc>
          <w:tcPr>
            <w:tcW w:type="dxa" w:w="2268"/>
          </w:tcPr>
          <w:p>
            <w:r>
              <w:rPr>
                <w:rFonts w:ascii="Times New Roman" w:hAnsi="Times New Roman"/>
                <w:sz w:val="20"/>
              </w:rPr>
              <w:t>Feldkamp + Stang</w:t>
            </w:r>
          </w:p>
        </w:tc>
      </w:tr>
      <w:tr>
        <w:tc>
          <w:tcPr>
            <w:tcW w:type="dxa" w:w="2268"/>
          </w:tcPr>
          <w:p>
            <w:r>
              <w:rPr>
                <w:rFonts w:ascii="Times New Roman" w:hAnsi="Times New Roman"/>
                <w:sz w:val="20"/>
              </w:rPr>
              <w:t>Diff-Dokument K38a vs. K38</w:t>
            </w:r>
          </w:p>
        </w:tc>
        <w:tc>
          <w:tcPr>
            <w:tcW w:type="dxa" w:w="2268"/>
          </w:tcPr>
          <w:p>
            <w:r>
              <w:rPr>
                <w:rFonts w:ascii="Times New Roman" w:hAnsi="Times New Roman"/>
                <w:sz w:val="20"/>
              </w:rPr>
              <w:t>K38b ergänzt</w:t>
            </w:r>
          </w:p>
        </w:tc>
        <w:tc>
          <w:tcPr>
            <w:tcW w:type="dxa" w:w="2268"/>
          </w:tcPr>
          <w:p>
            <w:r>
              <w:rPr>
                <w:rFonts w:ascii="Times New Roman" w:hAnsi="Times New Roman"/>
                <w:sz w:val="20"/>
              </w:rPr>
              <w:t>22.04.2026</w:t>
            </w:r>
          </w:p>
        </w:tc>
        <w:tc>
          <w:tcPr>
            <w:tcW w:type="dxa" w:w="2268"/>
          </w:tcPr>
          <w:p>
            <w:r>
              <w:rPr>
                <w:rFonts w:ascii="Times New Roman" w:hAnsi="Times New Roman"/>
                <w:sz w:val="20"/>
              </w:rPr>
              <w:t>Stang</w:t>
            </w:r>
          </w:p>
        </w:tc>
      </w:tr>
      <w:tr>
        <w:tc>
          <w:tcPr>
            <w:tcW w:type="dxa" w:w="2268"/>
          </w:tcPr>
          <w:p>
            <w:r>
              <w:rPr>
                <w:rFonts w:ascii="Times New Roman" w:hAnsi="Times New Roman"/>
                <w:sz w:val="20"/>
              </w:rPr>
              <w:t>Methodischer Abschnitt Repräsentativität</w:t>
            </w:r>
          </w:p>
        </w:tc>
        <w:tc>
          <w:tcPr>
            <w:tcW w:type="dxa" w:w="2268"/>
          </w:tcPr>
          <w:p>
            <w:r>
              <w:rPr>
                <w:rFonts w:ascii="Times New Roman" w:hAnsi="Times New Roman"/>
                <w:sz w:val="20"/>
              </w:rPr>
              <w:t>Schriftsatz-Ergänzung</w:t>
            </w:r>
          </w:p>
        </w:tc>
        <w:tc>
          <w:tcPr>
            <w:tcW w:type="dxa" w:w="2268"/>
          </w:tcPr>
          <w:p>
            <w:r>
              <w:rPr>
                <w:rFonts w:ascii="Times New Roman" w:hAnsi="Times New Roman"/>
                <w:sz w:val="20"/>
              </w:rPr>
              <w:t>22.04.2026</w:t>
            </w:r>
          </w:p>
        </w:tc>
        <w:tc>
          <w:tcPr>
            <w:tcW w:type="dxa" w:w="2268"/>
          </w:tcPr>
          <w:p>
            <w:r>
              <w:rPr>
                <w:rFonts w:ascii="Times New Roman" w:hAnsi="Times New Roman"/>
                <w:sz w:val="20"/>
              </w:rPr>
              <w:t>Söhnchen</w:t>
            </w:r>
          </w:p>
        </w:tc>
      </w:tr>
      <w:tr>
        <w:tc>
          <w:tcPr>
            <w:tcW w:type="dxa" w:w="2268"/>
          </w:tcPr>
          <w:p>
            <w:r>
              <w:rPr>
                <w:rFonts w:ascii="Times New Roman" w:hAnsi="Times New Roman"/>
                <w:sz w:val="20"/>
              </w:rPr>
              <w:t>Überarbeitetes Anlagenverzeichnis Version 2.1</w:t>
            </w:r>
          </w:p>
        </w:tc>
        <w:tc>
          <w:tcPr>
            <w:tcW w:type="dxa" w:w="2268"/>
          </w:tcPr>
          <w:p>
            <w:r>
              <w:rPr>
                <w:rFonts w:ascii="Times New Roman" w:hAnsi="Times New Roman"/>
                <w:sz w:val="20"/>
              </w:rPr>
              <w:t>anlagenverzeichnis_lg.docx</w:t>
            </w:r>
          </w:p>
        </w:tc>
        <w:tc>
          <w:tcPr>
            <w:tcW w:type="dxa" w:w="2268"/>
          </w:tcPr>
          <w:p>
            <w:r>
              <w:rPr>
                <w:rFonts w:ascii="Times New Roman" w:hAnsi="Times New Roman"/>
                <w:sz w:val="20"/>
              </w:rPr>
              <w:t>22.04.2026</w:t>
            </w:r>
          </w:p>
        </w:tc>
        <w:tc>
          <w:tcPr>
            <w:tcW w:type="dxa" w:w="2268"/>
          </w:tcPr>
          <w:p>
            <w:r>
              <w:rPr>
                <w:rFonts w:ascii="Times New Roman" w:hAnsi="Times New Roman"/>
                <w:sz w:val="20"/>
              </w:rPr>
              <w:t>Stang</w:t>
            </w:r>
          </w:p>
        </w:tc>
      </w:tr>
    </w:tbl>
    <w:p/>
    <w:p>
      <w:pPr>
        <w:pStyle w:val="Heading2"/>
      </w:pPr>
      <w:r>
        <w:rPr>
          <w:rFonts w:ascii="Times New Roman" w:hAnsi="Times New Roman"/>
        </w:rPr>
        <w:t>Bewertung des Vortests</w:t>
      </w:r>
    </w:p>
    <w:p>
      <w:pPr>
        <w:jc w:val="left"/>
      </w:pPr>
      <w:r>
        <w:t>Das informelle Vortest-Gespräch hat mehrere Stunden Arbeit gespart: Statt die Mängel erst nach dem nächsten förmlichen Schriftsatz-Austausch zu erfahren (mit langer Verzögerung), konnten sie jetzt gezielt und früh behoben werden. Dr. Hermanns signalisiert, dass das Gericht die Klage nach Eingang des ergänzenden Schriftsatzes für schlüssig erachten dürfte — ein vorsichtiges, aber ermutigendes Signal für eine baldige Terminsbestimmung zur mündlichen Verhandlung.</w:t>
      </w:r>
    </w:p>
    <w:p>
      <w:pPr>
        <w:jc w:val="left"/>
      </w:pPr>
      <w:r>
        <w:t>Dr. Söhnchen notiert für die Mandatsakte: Solche informellen Gespräche mit dem Vorsitzenden sind in Bausachen häufig möglich und sollten aktiv gesucht werden. Der § 139 ZPO-Prozess (richterlicher Hinweis — Replik — erneuter Hinweis) kann dadurch erheblich abgekürzt werden. Die alternative Möglichkeit, schon in der Klageschrift einen Vorschlag für eine gerichtlich beauftragte Anlagen-Sichtung durch einen Sachverständigen zu unterbreiten, wird für das weitere Verfahren in Betracht gezogen.</w:t>
      </w:r>
    </w:p>
    <w:p/>
    <w:p>
      <w:pPr>
        <w:pStyle w:val="Heading2"/>
      </w:pPr>
      <w:r>
        <w:rPr>
          <w:rFonts w:ascii="Times New Roman" w:hAnsi="Times New Roman"/>
        </w:rPr>
        <w:t>Nächster Termin</w:t>
      </w:r>
    </w:p>
    <w:p>
      <w:pPr>
        <w:jc w:val="left"/>
      </w:pPr>
      <w:r>
        <w:t>Güteverhandlung / Mündliche Verhandlung: Voraussichtlich Juni 2026 (nach Eingang des ergänzenden Schriftsatzes und Klageerwiderung Replik). Stang wird den Termin nach Bekanntgabe durch die Geschäftsstelle in den Kanzleiplan eintragen.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