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21 Kostenfolge Anlage-Management — § 91 ZPO und Anlagenpauschale</w:t>
      </w:r>
    </w:p>
    <w:p>
      <w:pPr>
        <w:jc w:val="left"/>
      </w:pPr>
      <w:r>
        <w:t>Datum: 2. April 2026</w:t>
      </w:r>
    </w:p>
    <w:p>
      <w:pPr>
        <w:jc w:val="left"/>
      </w:pPr>
      <w:r>
        <w:t>Bearbeiter: RA Dr. Bertram Söhnchen LL.M.</w:t>
      </w:r>
    </w:p>
    <w:p>
      <w:pPr>
        <w:jc w:val="left"/>
      </w:pPr>
      <w:r>
        <w:t>Az.: 11 O 188/26 (LG Aachen), DIS-SV-2026/088</w:t>
      </w:r>
    </w:p>
    <w:p/>
    <w:p>
      <w:pPr>
        <w:pStyle w:val="Heading2"/>
      </w:pPr>
      <w:r>
        <w:rPr>
          <w:rFonts w:ascii="Times New Roman" w:hAnsi="Times New Roman"/>
        </w:rPr>
        <w:t>Erstattungsfähigkeit von Anlagenkosten</w:t>
      </w:r>
    </w:p>
    <w:p>
      <w:pPr>
        <w:jc w:val="left"/>
      </w:pPr>
      <w:r>
        <w:t>In komplexen Bausachen fallen erhebliche Kosten für die Zusammenstellung, Aufbereitung und Einreichung des Anlagenkonvoluts an. Die Frage, welche dieser Kosten im Falle des Obsiegens nach § 91 ZPO (https://dejure.org/gesetze/ZPO/91.html) gegenüber dem unterlegenen Gegner erstattungsfähig sind, ist für Werkmann wirtschaftlich bedeutsam.</w:t>
      </w:r>
    </w:p>
    <w:p/>
    <w:p>
      <w:pPr>
        <w:pStyle w:val="Heading2"/>
      </w:pPr>
      <w:r>
        <w:rPr>
          <w:rFonts w:ascii="Times New Roman" w:hAnsi="Times New Roman"/>
        </w:rPr>
        <w:t>Kostenüberblick (Stand April 2026)</w:t>
      </w:r>
    </w:p>
    <w:p>
      <w:pPr>
        <w:pStyle w:val="Heading3"/>
      </w:pPr>
      <w:r>
        <w:rPr>
          <w:rFonts w:ascii="Times New Roman" w:hAnsi="Times New Roman"/>
        </w:rPr>
        <w:t>Anwaltliche Vergütung (Anlage-Management)</w:t>
      </w:r>
    </w:p>
    <w:p>
      <w:pPr>
        <w:jc w:val="left"/>
      </w:pPr>
      <w:r>
        <w:t>Die anwaltliche Tätigkeit im Zusammenhang mit dem Anlage-Management ist über den Gegenstandswert abgegolten. Es gibt keinen separaten Anlage-Management-Gebührentatbestand im RVG. Soweit RA Dr. Söhnchen und Stang Stunden ausschließlich für die Anlage-Aufbereitung aufgewandt haben, sind diese als Verfahrensgebühr (Nr. 3100 VV RVG) und Terminsgebühr (Nr. 3104 VV RVG) gedeckt.</w:t>
      </w:r>
    </w:p>
    <w:p>
      <w:pPr>
        <w:jc w:val="left"/>
      </w:pPr>
      <w:r>
        <w:t>Ausnahme: Soweit die Anlage-Aufbereitung durch technische Mitarbeiter (Hofferberth) erfolgt ist, handelt es sich um Mandantenkosten, die nicht als Anwaltskosten, aber ggf. als erstattungsfähige Prozesskosten geltend gemacht werden können, wenn sie durch die Prozessführung veranlasst waren (§ 91 Abs. 1 S. 1 ZPO).</w:t>
      </w:r>
    </w:p>
    <w:p>
      <w:pPr>
        <w:pStyle w:val="Heading3"/>
      </w:pPr>
      <w:r>
        <w:rPr>
          <w:rFonts w:ascii="Times New Roman" w:hAnsi="Times New Roman"/>
        </w:rPr>
        <w:t>Übersetzungskosten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Beglaubigte Übersetzung Chinesisch (Lin &amp; Partner)</w:t>
            </w:r>
          </w:p>
        </w:tc>
        <w:tc>
          <w:tcPr>
            <w:tcW w:type="dxa" w:w="4536"/>
          </w:tcPr>
          <w:p>
            <w:r>
              <w:rPr>
                <w:rFonts w:ascii="Times New Roman" w:hAnsi="Times New Roman"/>
                <w:sz w:val="20"/>
              </w:rPr>
              <w:t>2.400 EUR</w:t>
            </w:r>
          </w:p>
        </w:tc>
      </w:tr>
      <w:tr>
        <w:tc>
          <w:tcPr>
            <w:tcW w:type="dxa" w:w="4536"/>
          </w:tcPr>
          <w:p>
            <w:r>
              <w:rPr>
                <w:rFonts w:ascii="Times New Roman" w:hAnsi="Times New Roman"/>
                <w:sz w:val="20"/>
              </w:rPr>
              <w:t>Einfache Übersetzung Italienisch (Stang, intern)</w:t>
            </w:r>
          </w:p>
        </w:tc>
        <w:tc>
          <w:tcPr>
            <w:tcW w:type="dxa" w:w="4536"/>
          </w:tcPr>
          <w:p>
            <w:r>
              <w:rPr>
                <w:rFonts w:ascii="Times New Roman" w:hAnsi="Times New Roman"/>
                <w:sz w:val="20"/>
              </w:rPr>
              <w:t>0 EUR (bereits mit Kanzleihonorar abgegolten)</w:t>
            </w:r>
          </w:p>
        </w:tc>
      </w:tr>
      <w:tr>
        <w:tc>
          <w:tcPr>
            <w:tcW w:type="dxa" w:w="4536"/>
          </w:tcPr>
          <w:p>
            <w:r>
              <w:rPr>
                <w:rFonts w:ascii="Times New Roman" w:hAnsi="Times New Roman"/>
                <w:b/>
                <w:sz w:val="20"/>
              </w:rPr>
              <w:t>Gesamt Übersetzung</w:t>
            </w:r>
          </w:p>
        </w:tc>
        <w:tc>
          <w:tcPr>
            <w:tcW w:type="dxa" w:w="4536"/>
          </w:tcPr>
          <w:p>
            <w:r>
              <w:rPr>
                <w:rFonts w:ascii="Times New Roman" w:hAnsi="Times New Roman"/>
                <w:b/>
                <w:sz w:val="20"/>
              </w:rPr>
              <w:t>2.400 EUR</w:t>
            </w:r>
          </w:p>
        </w:tc>
      </w:tr>
    </w:tbl>
    <w:p>
      <w:pPr>
        <w:jc w:val="left"/>
      </w:pPr>
      <w:r>
        <w:t>Übersetzungskosten sind nach § 91 ZPO erstattungsfähig, wenn die Urkunde für die Rechtsverfolgung erforderlich war und das Gericht die fremdsprachige Version nicht ohne Übersetzung berücksichtigen konnte. BGH, Beschluss vom 13.09.2012 — I ZB 75/11 (bundesgerichtshof.de): Übersetzungskosten sind erstattungsfähig, wenn sie für die Prozessführung notwendig waren.</w:t>
      </w:r>
    </w:p>
    <w:p>
      <w:pPr>
        <w:pStyle w:val="Heading3"/>
      </w:pPr>
      <w:r>
        <w:rPr>
          <w:rFonts w:ascii="Times New Roman" w:hAnsi="Times New Roman"/>
        </w:rPr>
        <w:t>Druckkosten (Schiedsgericht)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Druck 4 Exemplare Sammelband</w:t>
            </w:r>
          </w:p>
        </w:tc>
        <w:tc>
          <w:tcPr>
            <w:tcW w:type="dxa" w:w="4536"/>
          </w:tcPr>
          <w:p>
            <w:r>
              <w:rPr>
                <w:rFonts w:ascii="Times New Roman" w:hAnsi="Times New Roman"/>
                <w:sz w:val="20"/>
              </w:rPr>
              <w:t>1.028,16 EUR</w:t>
            </w:r>
          </w:p>
        </w:tc>
      </w:tr>
      <w:tr>
        <w:tc>
          <w:tcPr>
            <w:tcW w:type="dxa" w:w="4536"/>
          </w:tcPr>
          <w:p>
            <w:r>
              <w:rPr>
                <w:rFonts w:ascii="Times New Roman" w:hAnsi="Times New Roman"/>
                <w:sz w:val="20"/>
              </w:rPr>
              <w:t>Farbige Deckblätter</w:t>
            </w:r>
          </w:p>
        </w:tc>
        <w:tc>
          <w:tcPr>
            <w:tcW w:type="dxa" w:w="4536"/>
          </w:tcPr>
          <w:p>
            <w:r>
              <w:rPr>
                <w:rFonts w:ascii="Times New Roman" w:hAnsi="Times New Roman"/>
                <w:sz w:val="20"/>
              </w:rPr>
              <w:t>345,80 EUR</w:t>
            </w:r>
          </w:p>
        </w:tc>
      </w:tr>
      <w:tr>
        <w:tc>
          <w:tcPr>
            <w:tcW w:type="dxa" w:w="4536"/>
          </w:tcPr>
          <w:p>
            <w:r>
              <w:rPr>
                <w:rFonts w:ascii="Times New Roman" w:hAnsi="Times New Roman"/>
                <w:sz w:val="20"/>
              </w:rPr>
              <w:t>Hardcover-Bindung</w:t>
            </w:r>
          </w:p>
        </w:tc>
        <w:tc>
          <w:tcPr>
            <w:tcW w:type="dxa" w:w="4536"/>
          </w:tcPr>
          <w:p>
            <w:r>
              <w:rPr>
                <w:rFonts w:ascii="Times New Roman" w:hAnsi="Times New Roman"/>
                <w:sz w:val="20"/>
              </w:rPr>
              <w:t>112,00 EUR</w:t>
            </w:r>
          </w:p>
        </w:tc>
      </w:tr>
      <w:tr>
        <w:tc>
          <w:tcPr>
            <w:tcW w:type="dxa" w:w="4536"/>
          </w:tcPr>
          <w:p>
            <w:r>
              <w:rPr>
                <w:rFonts w:ascii="Times New Roman" w:hAnsi="Times New Roman"/>
                <w:sz w:val="20"/>
              </w:rPr>
              <w:t>Register-Trennblätter</w:t>
            </w:r>
          </w:p>
        </w:tc>
        <w:tc>
          <w:tcPr>
            <w:tcW w:type="dxa" w:w="4536"/>
          </w:tcPr>
          <w:p>
            <w:r>
              <w:rPr>
                <w:rFonts w:ascii="Times New Roman" w:hAnsi="Times New Roman"/>
                <w:sz w:val="20"/>
              </w:rPr>
              <w:t>34,00 EUR</w:t>
            </w:r>
          </w:p>
        </w:tc>
      </w:tr>
      <w:tr>
        <w:tc>
          <w:tcPr>
            <w:tcW w:type="dxa" w:w="4536"/>
          </w:tcPr>
          <w:p>
            <w:r>
              <w:rPr>
                <w:rFonts w:ascii="Times New Roman" w:hAnsi="Times New Roman"/>
                <w:sz w:val="20"/>
              </w:rPr>
              <w:t>USB-Sticks</w:t>
            </w:r>
          </w:p>
        </w:tc>
        <w:tc>
          <w:tcPr>
            <w:tcW w:type="dxa" w:w="4536"/>
          </w:tcPr>
          <w:p>
            <w:r>
              <w:rPr>
                <w:rFonts w:ascii="Times New Roman" w:hAnsi="Times New Roman"/>
                <w:sz w:val="20"/>
              </w:rPr>
              <w:t>48,00 EUR</w:t>
            </w:r>
          </w:p>
        </w:tc>
      </w:tr>
      <w:tr>
        <w:tc>
          <w:tcPr>
            <w:tcW w:type="dxa" w:w="4536"/>
          </w:tcPr>
          <w:p>
            <w:r>
              <w:rPr>
                <w:rFonts w:ascii="Times New Roman" w:hAnsi="Times New Roman"/>
                <w:b/>
                <w:sz w:val="20"/>
              </w:rPr>
              <w:t>Gesamt Druckkosten</w:t>
            </w:r>
          </w:p>
        </w:tc>
        <w:tc>
          <w:tcPr>
            <w:tcW w:type="dxa" w:w="4536"/>
          </w:tcPr>
          <w:p>
            <w:r>
              <w:rPr>
                <w:rFonts w:ascii="Times New Roman" w:hAnsi="Times New Roman"/>
                <w:b/>
                <w:sz w:val="20"/>
              </w:rPr>
              <w:t>1.567,96 EUR</w:t>
            </w:r>
          </w:p>
        </w:tc>
      </w:tr>
    </w:tbl>
    <w:p>
      <w:pPr>
        <w:jc w:val="left"/>
      </w:pPr>
      <w:r>
        <w:t>Im DIS-Schiedsverfahren gilt nicht § 91 ZPO, sondern § 1057 ZPO (Kostenentscheidung Schiedsgericht). Die Erstattungsfähigkeit von Druckkosten im Schiedsverfahren richtet sich nach § 14 DIS-SchO.</w:t>
      </w:r>
    </w:p>
    <w:p>
      <w:pPr>
        <w:pStyle w:val="Heading3"/>
      </w:pPr>
      <w:r>
        <w:rPr>
          <w:rFonts w:ascii="Times New Roman" w:hAnsi="Times New Roman"/>
        </w:rPr>
        <w:t>Sachverständigenkosten Anlage-Aufbereitung</w:t>
      </w:r>
    </w:p>
    <w:p>
      <w:pPr>
        <w:jc w:val="left"/>
      </w:pPr>
      <w:r>
        <w:t>Privatgutachter Feldkamp (Anlage K248 — technische Zusammenfassung Schweißnahtprotokolle, K75a): Honorar 3.800 EUR netto. Erstattungsfähig nach § 91 ZPO, soweit das Privatgutachten für die Begründung der Klageforderung notwendig war (OLG Köln, Beschluss vom 22.11.2021 — 17 W 20/21; openjur.de).</w:t>
      </w:r>
    </w:p>
    <w:p>
      <w:pPr>
        <w:pStyle w:val="Heading3"/>
      </w:pPr>
      <w:r>
        <w:rPr>
          <w:rFonts w:ascii="Times New Roman" w:hAnsi="Times New Roman"/>
        </w:rPr>
        <w:t>IT-Kosten (QR-Codes, SHA-256-Skript)</w:t>
      </w:r>
    </w:p>
    <w:p>
      <w:pPr>
        <w:jc w:val="left"/>
      </w:pPr>
      <w:r>
        <w:t>Fleischer (IT): 12 Arbeitsstunden à 85 EUR/Stunde (Kanzlei-IT-Pauschale) = 1.020 EUR. Diese IT-Kosten sind in der Kanzleistruktur interne Kosten; eine gesonderte Kostenerstattung kommt nur in Betracht, wenn sie explizit als notwendige Auslagen in der Kostenrechnung aufgeführt werden. Prüfung ausstehend.</w:t>
      </w:r>
    </w:p>
    <w:p/>
    <w:p>
      <w:pPr>
        <w:pStyle w:val="Heading2"/>
      </w:pPr>
      <w:r>
        <w:rPr>
          <w:rFonts w:ascii="Times New Roman" w:hAnsi="Times New Roman"/>
        </w:rPr>
        <w:t>Kostenzusammenstellung (erstattungsfähig vs. nicht erstattungsfähig)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Kostenposition</w:t>
            </w:r>
          </w:p>
        </w:tc>
        <w:tc>
          <w:tcPr>
            <w:tcW w:type="dxa" w:w="3024"/>
          </w:tcPr>
          <w:p>
            <w:r>
              <w:rPr>
                <w:rFonts w:ascii="Times New Roman" w:hAnsi="Times New Roman"/>
                <w:b/>
                <w:sz w:val="20"/>
              </w:rPr>
              <w:t>Betrag</w:t>
            </w:r>
          </w:p>
        </w:tc>
        <w:tc>
          <w:tcPr>
            <w:tcW w:type="dxa" w:w="3024"/>
          </w:tcPr>
          <w:p>
            <w:r>
              <w:rPr>
                <w:rFonts w:ascii="Times New Roman" w:hAnsi="Times New Roman"/>
                <w:b/>
                <w:sz w:val="20"/>
              </w:rPr>
              <w:t>Erstattungsfähig?</w:t>
            </w:r>
          </w:p>
        </w:tc>
      </w:tr>
      <w:tr>
        <w:tc>
          <w:tcPr>
            <w:tcW w:type="dxa" w:w="3024"/>
          </w:tcPr>
          <w:p>
            <w:r>
              <w:rPr>
                <w:rFonts w:ascii="Times New Roman" w:hAnsi="Times New Roman"/>
                <w:sz w:val="20"/>
              </w:rPr>
              <w:t>Übersetzungskosten (Lin &amp; Partner)</w:t>
            </w:r>
          </w:p>
        </w:tc>
        <w:tc>
          <w:tcPr>
            <w:tcW w:type="dxa" w:w="3024"/>
          </w:tcPr>
          <w:p>
            <w:r>
              <w:rPr>
                <w:rFonts w:ascii="Times New Roman" w:hAnsi="Times New Roman"/>
                <w:sz w:val="20"/>
              </w:rPr>
              <w:t>2.400 EUR</w:t>
            </w:r>
          </w:p>
        </w:tc>
        <w:tc>
          <w:tcPr>
            <w:tcW w:type="dxa" w:w="3024"/>
          </w:tcPr>
          <w:p>
            <w:r>
              <w:rPr>
                <w:rFonts w:ascii="Times New Roman" w:hAnsi="Times New Roman"/>
                <w:sz w:val="20"/>
              </w:rPr>
              <w:t>Ja (§ 91 ZPO)</w:t>
            </w:r>
          </w:p>
        </w:tc>
      </w:tr>
      <w:tr>
        <w:tc>
          <w:tcPr>
            <w:tcW w:type="dxa" w:w="3024"/>
          </w:tcPr>
          <w:p>
            <w:r>
              <w:rPr>
                <w:rFonts w:ascii="Times New Roman" w:hAnsi="Times New Roman"/>
                <w:sz w:val="20"/>
              </w:rPr>
              <w:t>Druckkosten Schiedsgericht</w:t>
            </w:r>
          </w:p>
        </w:tc>
        <w:tc>
          <w:tcPr>
            <w:tcW w:type="dxa" w:w="3024"/>
          </w:tcPr>
          <w:p>
            <w:r>
              <w:rPr>
                <w:rFonts w:ascii="Times New Roman" w:hAnsi="Times New Roman"/>
                <w:sz w:val="20"/>
              </w:rPr>
              <w:t>1.568 EUR</w:t>
            </w:r>
          </w:p>
        </w:tc>
        <w:tc>
          <w:tcPr>
            <w:tcW w:type="dxa" w:w="3024"/>
          </w:tcPr>
          <w:p>
            <w:r>
              <w:rPr>
                <w:rFonts w:ascii="Times New Roman" w:hAnsi="Times New Roman"/>
                <w:sz w:val="20"/>
              </w:rPr>
              <w:t>Ja (§ 1057 ZPO / DIS-SchO)</w:t>
            </w:r>
          </w:p>
        </w:tc>
      </w:tr>
      <w:tr>
        <w:tc>
          <w:tcPr>
            <w:tcW w:type="dxa" w:w="3024"/>
          </w:tcPr>
          <w:p>
            <w:r>
              <w:rPr>
                <w:rFonts w:ascii="Times New Roman" w:hAnsi="Times New Roman"/>
                <w:sz w:val="20"/>
              </w:rPr>
              <w:t>Privatgutachter Feldkamp (Anlage K248 + K75a)</w:t>
            </w:r>
          </w:p>
        </w:tc>
        <w:tc>
          <w:tcPr>
            <w:tcW w:type="dxa" w:w="3024"/>
          </w:tcPr>
          <w:p>
            <w:r>
              <w:rPr>
                <w:rFonts w:ascii="Times New Roman" w:hAnsi="Times New Roman"/>
                <w:sz w:val="20"/>
              </w:rPr>
              <w:t>3.800 EUR</w:t>
            </w:r>
          </w:p>
        </w:tc>
        <w:tc>
          <w:tcPr>
            <w:tcW w:type="dxa" w:w="3024"/>
          </w:tcPr>
          <w:p>
            <w:r>
              <w:rPr>
                <w:rFonts w:ascii="Times New Roman" w:hAnsi="Times New Roman"/>
                <w:sz w:val="20"/>
              </w:rPr>
              <w:t>Ja (§ 91 ZPO)</w:t>
            </w:r>
          </w:p>
        </w:tc>
      </w:tr>
      <w:tr>
        <w:tc>
          <w:tcPr>
            <w:tcW w:type="dxa" w:w="3024"/>
          </w:tcPr>
          <w:p>
            <w:r>
              <w:rPr>
                <w:rFonts w:ascii="Times New Roman" w:hAnsi="Times New Roman"/>
                <w:sz w:val="20"/>
              </w:rPr>
              <w:t>IT-Kosten Fleischer</w:t>
            </w:r>
          </w:p>
        </w:tc>
        <w:tc>
          <w:tcPr>
            <w:tcW w:type="dxa" w:w="3024"/>
          </w:tcPr>
          <w:p>
            <w:r>
              <w:rPr>
                <w:rFonts w:ascii="Times New Roman" w:hAnsi="Times New Roman"/>
                <w:sz w:val="20"/>
              </w:rPr>
              <w:t>1.020 EUR</w:t>
            </w:r>
          </w:p>
        </w:tc>
        <w:tc>
          <w:tcPr>
            <w:tcW w:type="dxa" w:w="3024"/>
          </w:tcPr>
          <w:p>
            <w:r>
              <w:rPr>
                <w:rFonts w:ascii="Times New Roman" w:hAnsi="Times New Roman"/>
                <w:sz w:val="20"/>
              </w:rPr>
              <w:t>Fraglich</w:t>
            </w:r>
          </w:p>
        </w:tc>
      </w:tr>
      <w:tr>
        <w:tc>
          <w:tcPr>
            <w:tcW w:type="dxa" w:w="3024"/>
          </w:tcPr>
          <w:p>
            <w:r>
              <w:rPr>
                <w:rFonts w:ascii="Times New Roman" w:hAnsi="Times New Roman"/>
                <w:sz w:val="20"/>
              </w:rPr>
              <w:t>Interne Übersetzung Stang</w:t>
            </w:r>
          </w:p>
        </w:tc>
        <w:tc>
          <w:tcPr>
            <w:tcW w:type="dxa" w:w="3024"/>
          </w:tcPr>
          <w:p>
            <w:r>
              <w:rPr>
                <w:rFonts w:ascii="Times New Roman" w:hAnsi="Times New Roman"/>
                <w:sz w:val="20"/>
              </w:rPr>
              <w:t>0 EUR</w:t>
            </w:r>
          </w:p>
        </w:tc>
        <w:tc>
          <w:tcPr>
            <w:tcW w:type="dxa" w:w="3024"/>
          </w:tcPr>
          <w:p>
            <w:r>
              <w:rPr>
                <w:rFonts w:ascii="Times New Roman" w:hAnsi="Times New Roman"/>
                <w:sz w:val="20"/>
              </w:rPr>
              <w:t>N/A</w:t>
            </w:r>
          </w:p>
        </w:tc>
      </w:tr>
      <w:tr>
        <w:tc>
          <w:tcPr>
            <w:tcW w:type="dxa" w:w="3024"/>
          </w:tcPr>
          <w:p>
            <w:r>
              <w:rPr>
                <w:rFonts w:ascii="Times New Roman" w:hAnsi="Times New Roman"/>
                <w:b/>
                <w:sz w:val="20"/>
              </w:rPr>
              <w:t>Gesamt potenziell erstattungsfähig</w:t>
            </w:r>
          </w:p>
        </w:tc>
        <w:tc>
          <w:tcPr>
            <w:tcW w:type="dxa" w:w="3024"/>
          </w:tcPr>
          <w:p>
            <w:r>
              <w:rPr>
                <w:rFonts w:ascii="Times New Roman" w:hAnsi="Times New Roman"/>
                <w:b/>
                <w:sz w:val="20"/>
              </w:rPr>
              <w:t>ca. 7.788 EUR</w:t>
            </w:r>
          </w:p>
        </w:tc>
        <w:tc>
          <w:tcPr>
            <w:tcW w:type="dxa" w:w="3024"/>
          </w:tcPr>
          <w:p/>
        </w:tc>
      </w:tr>
    </w:tbl>
    <w:p>
      <w:pPr>
        <w:jc w:val="left"/>
      </w:pPr>
      <w:r>
        <w:t>Die Anwaltsgebühren (Söhnchen + Stang) für das Anlage-Management sind im Rahmen der Gesamtgebühren des Verfahrens (RVG-Verfahrensgebühr aus Gegenstandswert 2.400.000 EUR: ca. 16.944 EUR netto) bereits enthalten und werden nicht gesondert geltend gemacht.</w:t>
      </w:r>
    </w:p>
    <w:p/>
    <w:p>
      <w:pPr>
        <w:pStyle w:val="Heading2"/>
      </w:pPr>
      <w:r>
        <w:rPr>
          <w:rFonts w:ascii="Times New Roman" w:hAnsi="Times New Roman"/>
        </w:rPr>
        <w:t>Anlagenpauschale-Diskussion</w:t>
      </w:r>
    </w:p>
    <w:p>
      <w:pPr>
        <w:jc w:val="left"/>
      </w:pPr>
      <w:r>
        <w:t>In der anwaltlichen Praxis wird diskutiert, ob für die Aufbereitung außergewöhnlich umfangreicher Anlagenkonvolute eine außergerichtliche Vereinbarung einer Sondervergütung zulässig ist (§ 3a RVG — Vergütungsvereinbarung). Im vorliegenden Mandat wurde keine Sondervergütung für das Anlage-Management vereinbart. Für künftige Mandate mit vergleichbarem Anlagenumfang empfiehlt Dr. Söhnchen, eine gesonderte Anlagenpauschale (z.B. 5.000 EUR pauschal für Konvolute &gt; 1.000 Einzeldokumente) in der Mandatsvereinbarung festzuschreiben.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