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Verfahrensstand und Fazit — Anlagen-Handhabung</w:t>
      </w:r>
    </w:p>
    <w:p>
      <w:pPr>
        <w:jc w:val="left"/>
      </w:pPr>
      <w:r>
        <w:t>Datum: 15. April 2026 (Stichtag dieser Akte)</w:t>
      </w:r>
    </w:p>
    <w:p>
      <w:pPr>
        <w:jc w:val="left"/>
      </w:pPr>
      <w:r>
        <w:t>Bearbeiter: RA Dr. Bertram Söhnchen LL.M.</w:t>
      </w:r>
    </w:p>
    <w:p>
      <w:pPr>
        <w:jc w:val="left"/>
      </w:pPr>
      <w:r>
        <w:t>Az.: 11 O 188/26, 14 U 22/26, DIS-SV-2026/088</w:t>
      </w:r>
    </w:p>
    <w:p/>
    <w:p>
      <w:pPr>
        <w:pStyle w:val="Heading2"/>
      </w:pPr>
      <w:r>
        <w:rPr>
          <w:rFonts w:ascii="Times New Roman" w:hAnsi="Times New Roman"/>
        </w:rPr>
        <w:t>Gesamtüberblick Verfahrensstand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Nächster Schritt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Aachen 11 O 188/26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 eingereicht, Güteverhandlung abgehalten, ergänzender Schriftsatz in Vorbereitung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Ergänzender Schriftsatz bis 22.04.2026; dann Klageerwiderung Replik erwartet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Köln 14 U 22/26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Berufungsbegründung eingereicht (15.03.2026)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Berufungserwiderung K+B erwartet bis 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 Frankfurt DIS-SV-2026/088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Widerklage eingereicht (31.03.2026); 4 Originale + USB-Sticks versandt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Widerklageerwiderung K+B erwartet; mündliche Verhandlung Schiedsgericht voraussichtlich September 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Fazit: Anlagen-Handhabung in diesem Mandat</w:t>
      </w:r>
    </w:p>
    <w:p>
      <w:pPr>
        <w:pStyle w:val="Heading3"/>
      </w:pPr>
      <w:r>
        <w:rPr>
          <w:rFonts w:ascii="Times New Roman" w:hAnsi="Times New Roman"/>
        </w:rPr>
        <w:t>Was gut lief</w:t>
      </w:r>
    </w:p>
    <w:p>
      <w:pPr>
        <w:jc w:val="left"/>
      </w:pPr>
      <w:r>
        <w:rPr>
          <w:b/>
        </w:rPr>
        <w:t>Anlagenmatrix (Aktenstück 12)</w:t>
      </w:r>
      <w:r>
        <w:t>: Die verfahrensübergreifende XLSX-Matrix mit kanzleiinternen Dokument-IDs und Verfahrenszuordnung war die wichtigste Infrastrukturentscheidung. Ohne sie wäre das Mandat nicht beherrschbar gewesen.</w:t>
      </w:r>
    </w:p>
    <w:p>
      <w:pPr>
        <w:jc w:val="left"/>
      </w:pPr>
      <w:r>
        <w:rPr>
          <w:b/>
        </w:rPr>
        <w:t>Kürzungsstrategie (Aktenstück 16)</w:t>
      </w:r>
      <w:r>
        <w:t>: Die Reduktion von 3.847 auf 247 Gerichtsanlagen bei gleichzeitiger Bereitstellung des Nachlagenkonvoluts war prozessrechtlich korrekt und wurde vom Gericht positiv aufgenommen.</w:t>
      </w:r>
    </w:p>
    <w:p>
      <w:pPr>
        <w:jc w:val="left"/>
      </w:pPr>
      <w:r>
        <w:rPr>
          <w:b/>
        </w:rPr>
        <w:t>QR-Code-System (Aktenstück 18)</w:t>
      </w:r>
      <w:r>
        <w:t>: Vor allem für das Schiedsverfahren ein echter Mehrwert. Das Schiedsgericht hat den strukturierten Sammelband explizit gelobt.</w:t>
      </w:r>
    </w:p>
    <w:p>
      <w:pPr>
        <w:jc w:val="left"/>
      </w:pPr>
      <w:r>
        <w:rPr>
          <w:b/>
        </w:rPr>
        <w:t>Informeller Vortest (Aktenstück 20)</w:t>
      </w:r>
      <w:r>
        <w:t>: Das Gespräch mit dem Vorsitzenden hat wertvolles Feedback geliefert und die Reaktionszeit erheblich verkürzt.</w:t>
      </w:r>
    </w:p>
    <w:p>
      <w:pPr>
        <w:pStyle w:val="Heading3"/>
      </w:pPr>
      <w:r>
        <w:rPr>
          <w:rFonts w:ascii="Times New Roman" w:hAnsi="Times New Roman"/>
        </w:rPr>
        <w:t>Was Probleme bereitet hat</w:t>
      </w:r>
    </w:p>
    <w:p>
      <w:pPr>
        <w:jc w:val="left"/>
      </w:pPr>
      <w:r>
        <w:rPr>
          <w:b/>
        </w:rPr>
        <w:t>Anlage K17 (Aktenstück 04)</w:t>
      </w:r>
      <w:r>
        <w:t>: Der berufsrechtlich heikelste Moment des Mandats. Der Vorfall unterstreicht die Notwendigkeit eines sorgfältigen DMS-Konfigurationsmanagements. Die Lösung war prozessrechtlich korrekt (Berichtigungsschriftsatz), aber der Reputationsschaden bei ProTec ist durch kanzleiinterne Maßnahmen minimiert worden.</w:t>
      </w:r>
    </w:p>
    <w:p>
      <w:pPr>
        <w:jc w:val="left"/>
      </w:pPr>
      <w:r>
        <w:rPr>
          <w:b/>
        </w:rPr>
        <w:t>XJustiz-Hashprobleme (Aktenstück 05)</w:t>
      </w:r>
      <w:r>
        <w:t>: Technisch beherrschbar, aber zeitaufwendig. Das Update auf RA-Micro 2025.3.1 hat das Problem behoben. Empfehlung: Künftig nach jeder RA-Micro-Aktualisierung einen Testupload über das beA-Testsystem durchführen.</w:t>
      </w:r>
    </w:p>
    <w:p>
      <w:pPr>
        <w:jc w:val="left"/>
      </w:pPr>
      <w:r>
        <w:rPr>
          <w:b/>
        </w:rPr>
        <w:t>Echtheitsstreit Aufmaßprotokolle (Aktenstück 06)</w:t>
      </w:r>
      <w:r>
        <w:t>: Taktisch von K+B als Verzögerungsmanöver eingesetzt. Die Verteidigung ist solide aufgestellt (digitale Metadaten, Zeugen, Schriftgutachten). Allerdings: Hätte das Kanzlei-DMS von Beginn an GPS-Metadaten und Gerätezeitstempel für alle Protokolle archiviert (nicht nur für die PDF-Dateien), wäre der Streit gar nicht erst entstanden.</w:t>
      </w:r>
    </w:p>
    <w:p>
      <w:pPr>
        <w:jc w:val="left"/>
      </w:pPr>
      <w:r>
        <w:rPr>
          <w:b/>
        </w:rPr>
        <w:t>Synchronisationsproblem OLG/LG (Aktenstück 08)</w:t>
      </w:r>
      <w:r>
        <w:t>: Durch die Anlagenmatrix beherrschbar, aber der manuelle Synchronisationsaufwand ist hoch. Für künftige Mandate mit mehreren parallelen Verfahren empfiehlt sich ein dezidiertes Case-Management-System (z.B. Brainware Legal, Version 5.0).</w:t>
      </w:r>
    </w:p>
    <w:p/>
    <w:p>
      <w:pPr>
        <w:pStyle w:val="Heading2"/>
      </w:pPr>
      <w:r>
        <w:rPr>
          <w:rFonts w:ascii="Times New Roman" w:hAnsi="Times New Roman"/>
        </w:rPr>
        <w:t>Handlungsempfehlungen für künftige Anlagenkonvolut-Mandate</w:t>
      </w:r>
    </w:p>
    <w:p>
      <w:pPr>
        <w:pStyle w:val="ListNumber"/>
      </w:pPr>
      <w:r>
        <w:rPr>
          <w:b/>
        </w:rPr>
        <w:t>Anlagenmatrix von Tag 1</w:t>
      </w:r>
      <w:r>
        <w:t>: Nicht erst bei 3.847 Dokumenten aufbauen, sondern mit dem ersten Mandatsgespräch beginnen.</w:t>
      </w:r>
    </w:p>
    <w:p>
      <w:pPr>
        <w:pStyle w:val="ListNumber"/>
      </w:pPr>
      <w:r>
        <w:rPr>
          <w:b/>
        </w:rPr>
        <w:t>DMS-Konfiguration prüfen</w:t>
      </w:r>
      <w:r>
        <w:t>: Versionshistorie, Zugriffsprotokoll und Mandatstrennungs-Checks sind Pflicht, nicht Kür.</w:t>
      </w:r>
    </w:p>
    <w:p>
      <w:pPr>
        <w:pStyle w:val="ListNumber"/>
      </w:pPr>
      <w:r>
        <w:rPr>
          <w:b/>
        </w:rPr>
        <w:t>PDF/A-Konvertierung standardisieren</w:t>
      </w:r>
      <w:r>
        <w:t>: Einheitlicher Workflow (Konvertierung → Hash-Berechnung → Upload) eliminiert die Kategorie 1-Hashprobleme vollständig.</w:t>
      </w:r>
    </w:p>
    <w:p>
      <w:pPr>
        <w:pStyle w:val="ListNumber"/>
      </w:pPr>
      <w:r>
        <w:rPr>
          <w:b/>
        </w:rPr>
        <w:t>Anlagenpauschale vereinbaren</w:t>
      </w:r>
      <w:r>
        <w:t>: Bei &gt; 1.000 Einzeldokumenten gehört eine Sondervergütungsvereinbarung in die Mandatsannahme (§ 3a RVG).</w:t>
      </w:r>
    </w:p>
    <w:p>
      <w:pPr>
        <w:pStyle w:val="ListNumber"/>
      </w:pPr>
      <w:r>
        <w:rPr>
          <w:b/>
        </w:rPr>
        <w:t>Vortest-Gespräch aktiv anbieten</w:t>
      </w:r>
      <w:r>
        <w:t>: § 139 ZPO gibt dem Gericht die Möglichkeit, Hinweise zu erteilen. Viele Richter in Bausachen sind bereit, informell Strukturvorschläge zu diskutieren — wenn die Kanzlei es aktiv anbietet.</w:t>
      </w:r>
    </w:p>
    <w:p/>
    <w:p>
      <w:pPr>
        <w:pStyle w:val="Heading2"/>
      </w:pPr>
      <w:r>
        <w:rPr>
          <w:rFonts w:ascii="Times New Roman" w:hAnsi="Times New Roman"/>
        </w:rPr>
        <w:t>Ausblick</w:t>
      </w:r>
    </w:p>
    <w:p>
      <w:pPr>
        <w:jc w:val="left"/>
      </w:pPr>
      <w:r>
        <w:t>Das Mandat befindet sich in der entscheidenden Phase. Die Klageforderung von 2.400.000 EUR ist substanziiert; die Anlagenstruktur ist nach der Güteverhandlung gerichtsseitig als verbesserungswürdig, aber grundsätzlich tauglich bewertet worden. K+B hat bislang nur taktische Einwände (Echtheitstreit, Hashprobleme) vorgebracht, keine substanziellen inhaltlichen Einwände gegen die Mehrkostenpositionen.</w:t>
      </w:r>
    </w:p>
    <w:p>
      <w:pPr>
        <w:jc w:val="left"/>
      </w:pPr>
      <w:r>
        <w:t>Prognose (vorsichtig): Das LG Aachen dürfte im Laufe des Jahres 2026 einen Beweisbeschluss für ein Sachverständigengutachten erlassen. Ein Vergleich im Bereich 1.800.000–2.100.000 EUR erscheint realistisch. Das DIS-Schiedsverfahren könnte schneller zu einem Ergebnis kommen — Prof. Dr. Schwartze ist für zügige Verfahrensführung bekannt.</w:t>
      </w:r>
    </w:p>
    <w:p/>
    <w:p>
      <w:pPr>
        <w:jc w:val="left"/>
      </w:pPr>
      <w:r>
        <w:rPr>
          <w:b/>
        </w:rPr>
        <w:t>Stichtag dieser Akte: 15. April 2026</w:t>
      </w:r>
    </w:p>
    <w:p>
      <w:pPr>
        <w:jc w:val="left"/>
      </w:pPr>
      <w:r>
        <w:rPr>
          <w:b/>
        </w:rPr>
        <w:t>Bearbeiterin/Bearbeiter</w:t>
      </w:r>
      <w:r>
        <w:t>: RA Dr. Bertram Söhnchen LL.M. und Lea Stang</w:t>
      </w:r>
    </w:p>
    <w:p>
      <w:pPr>
        <w:jc w:val="left"/>
      </w:pPr>
      <w:r>
        <w:rPr>
          <w:b/>
        </w:rPr>
        <w:t>Kanzlei</w:t>
      </w:r>
      <w:r>
        <w:t>: Söhnchen &amp; Partner Rechtsanwälte mbB, Theaterstraße 22, 52062 Aachen</w:t>
      </w:r>
    </w:p>
    <w:p>
      <w:pPr>
        <w:jc w:val="left"/>
      </w:pPr>
      <w:r>
        <w:t>Quelle Werklohn-Grundsätze: BGH, Urteil vom 24.02.2005 — VII ZR 141/03 (bundesgerichtshof.de); zu Substantiierungsanforderungen und Beweislast bei Bauvergütungsansprüchen.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