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K1-Sortierprotokoll — Werkvertrag, Auftrag, Nachtrag, Mailbestätigung</w:t>
      </w:r>
    </w:p>
    <w:p>
      <w:pPr>
        <w:jc w:val="left"/>
      </w:pPr>
      <w:r>
        <w:t>Bearbeitungsstand: 21.04.2026, 18:40 Uhr</w:t>
      </w:r>
    </w:p>
    <w:p>
      <w:pPr>
        <w:jc w:val="left"/>
      </w:pPr>
      <w:r>
        <w:t>Bearbeiter: Lea Stang / Kontrolle RA Dr. Söhnchen</w:t>
      </w:r>
    </w:p>
    <w:p>
      <w:pPr>
        <w:jc w:val="left"/>
      </w:pPr>
      <w:r>
        <w:t>Ziel: Anlage K1 für den ergänzenden Schriftsatz an das LG Aachen vom 22.04.2026</w:t>
      </w:r>
    </w:p>
    <w:p>
      <w:pPr>
        <w:pStyle w:val="Heading2"/>
      </w:pPr>
      <w:r>
        <w:rPr>
          <w:rFonts w:ascii="Times New Roman" w:hAnsi="Times New Roman"/>
        </w:rPr>
        <w:t>Ausgangspunkt</w:t>
      </w:r>
    </w:p>
    <w:p>
      <w:pPr>
        <w:jc w:val="left"/>
      </w:pPr>
      <w:r>
        <w:t>Im Schriftsatz soll K1 nicht nur „der Vertrag“ sein. Die Werklohnforderung hängt daran, dass K+B Werkmann nicht lediglich mit einer Standard-Lackierlinie beauftragt hat, sondern mit einer später mehrfach technisch erweiterten Gesamtanlage. Deshalb muss K1 als Leit-Anlage zeigen:</w:t>
      </w:r>
    </w:p>
    <w:p>
      <w:pPr>
        <w:pStyle w:val="ListNumber"/>
      </w:pPr>
      <w:r>
        <w:t>ursprünglicher Nachunternehmervertrag vom 28.03.2024,</w:t>
      </w:r>
    </w:p>
    <w:p>
      <w:pPr>
        <w:pStyle w:val="ListNumber"/>
      </w:pPr>
      <w:r>
        <w:t>Anlagenbeschreibung Lackierlinie V2.4,</w:t>
      </w:r>
    </w:p>
    <w:p>
      <w:pPr>
        <w:pStyle w:val="ListNumber"/>
      </w:pPr>
      <w:r>
        <w:t>Nachtrag N-07 zur Taktzeitverkürzung,</w:t>
      </w:r>
    </w:p>
    <w:p>
      <w:pPr>
        <w:pStyle w:val="ListNumber"/>
      </w:pPr>
      <w:r>
        <w:t>E-Mail-Bestätigung Tellenbach vom 16.07.2024,</w:t>
      </w:r>
    </w:p>
    <w:p>
      <w:pPr>
        <w:pStyle w:val="ListNumber"/>
      </w:pPr>
      <w:r>
        <w:t>kaufmännische Bestätigung der Mehrvergütung durch K+B vom 19.07.2024.</w:t>
      </w:r>
    </w:p>
    <w:p>
      <w:pPr>
        <w:pStyle w:val="Heading2"/>
      </w:pPr>
      <w:r>
        <w:rPr>
          <w:rFonts w:ascii="Times New Roman" w:hAnsi="Times New Roman"/>
        </w:rPr>
        <w:t>Vorhandene Fassungen</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Arbeits-ID</w:t>
            </w:r>
          </w:p>
        </w:tc>
        <w:tc>
          <w:tcPr>
            <w:tcW w:type="dxa" w:w="2268"/>
          </w:tcPr>
          <w:p>
            <w:r>
              <w:rPr>
                <w:rFonts w:ascii="Times New Roman" w:hAnsi="Times New Roman"/>
                <w:b/>
                <w:sz w:val="20"/>
              </w:rPr>
              <w:t>Datei im Mandantenordner</w:t>
            </w:r>
          </w:p>
        </w:tc>
        <w:tc>
          <w:tcPr>
            <w:tcW w:type="dxa" w:w="2268"/>
          </w:tcPr>
          <w:p>
            <w:r>
              <w:rPr>
                <w:rFonts w:ascii="Times New Roman" w:hAnsi="Times New Roman"/>
                <w:b/>
                <w:sz w:val="20"/>
              </w:rPr>
              <w:t>Befund</w:t>
            </w:r>
          </w:p>
        </w:tc>
        <w:tc>
          <w:tcPr>
            <w:tcW w:type="dxa" w:w="2268"/>
          </w:tcPr>
          <w:p>
            <w:r>
              <w:rPr>
                <w:rFonts w:ascii="Times New Roman" w:hAnsi="Times New Roman"/>
                <w:b/>
                <w:sz w:val="20"/>
              </w:rPr>
              <w:t>Entscheidung</w:t>
            </w:r>
          </w:p>
        </w:tc>
      </w:tr>
      <w:tr>
        <w:tc>
          <w:tcPr>
            <w:tcW w:type="dxa" w:w="2268"/>
          </w:tcPr>
          <w:p>
            <w:r>
              <w:rPr>
                <w:rFonts w:ascii="Times New Roman" w:hAnsi="Times New Roman"/>
                <w:sz w:val="20"/>
              </w:rPr>
              <w:t>WM-DOK-0001</w:t>
            </w:r>
          </w:p>
        </w:tc>
        <w:tc>
          <w:tcPr>
            <w:tcW w:type="dxa" w:w="2268"/>
          </w:tcPr>
          <w:p>
            <w:r>
              <w:rPr>
                <w:rFonts w:ascii="Times New Roman" w:hAnsi="Times New Roman"/>
                <w:sz w:val="20"/>
              </w:rPr>
              <w:t>Vertrag_KB_Werkmann_final.pdf</w:t>
            </w:r>
          </w:p>
        </w:tc>
        <w:tc>
          <w:tcPr>
            <w:tcW w:type="dxa" w:w="2268"/>
          </w:tcPr>
          <w:p>
            <w:r>
              <w:rPr>
                <w:rFonts w:ascii="Times New Roman" w:hAnsi="Times New Roman"/>
                <w:sz w:val="20"/>
              </w:rPr>
              <w:t>42 Seiten, Scan, unterschrieben, OCR schwach</w:t>
            </w:r>
          </w:p>
        </w:tc>
        <w:tc>
          <w:tcPr>
            <w:tcW w:type="dxa" w:w="2268"/>
          </w:tcPr>
          <w:p>
            <w:r>
              <w:rPr>
                <w:rFonts w:ascii="Times New Roman" w:hAnsi="Times New Roman"/>
                <w:sz w:val="20"/>
              </w:rPr>
              <w:t>gerichtliche Fassung K1.1</w:t>
            </w:r>
          </w:p>
        </w:tc>
      </w:tr>
      <w:tr>
        <w:tc>
          <w:tcPr>
            <w:tcW w:type="dxa" w:w="2268"/>
          </w:tcPr>
          <w:p>
            <w:r>
              <w:rPr>
                <w:rFonts w:ascii="Times New Roman" w:hAnsi="Times New Roman"/>
                <w:sz w:val="20"/>
              </w:rPr>
              <w:t>WM-DOK-0001a</w:t>
            </w:r>
          </w:p>
        </w:tc>
        <w:tc>
          <w:tcPr>
            <w:tcW w:type="dxa" w:w="2268"/>
          </w:tcPr>
          <w:p>
            <w:r>
              <w:rPr>
                <w:rFonts w:ascii="Times New Roman" w:hAnsi="Times New Roman"/>
                <w:sz w:val="20"/>
              </w:rPr>
              <w:t>vertrag_final_final.pdf</w:t>
            </w:r>
          </w:p>
        </w:tc>
        <w:tc>
          <w:tcPr>
            <w:tcW w:type="dxa" w:w="2268"/>
          </w:tcPr>
          <w:p>
            <w:r>
              <w:rPr>
                <w:rFonts w:ascii="Times New Roman" w:hAnsi="Times New Roman"/>
                <w:sz w:val="20"/>
              </w:rPr>
              <w:t>identischer Scan, andere Kompression</w:t>
            </w:r>
          </w:p>
        </w:tc>
        <w:tc>
          <w:tcPr>
            <w:tcW w:type="dxa" w:w="2268"/>
          </w:tcPr>
          <w:p>
            <w:r>
              <w:rPr>
                <w:rFonts w:ascii="Times New Roman" w:hAnsi="Times New Roman"/>
                <w:sz w:val="20"/>
              </w:rPr>
              <w:t>nicht einreichen, Hashlog</w:t>
            </w:r>
          </w:p>
        </w:tc>
      </w:tr>
      <w:tr>
        <w:tc>
          <w:tcPr>
            <w:tcW w:type="dxa" w:w="2268"/>
          </w:tcPr>
          <w:p>
            <w:r>
              <w:rPr>
                <w:rFonts w:ascii="Times New Roman" w:hAnsi="Times New Roman"/>
                <w:sz w:val="20"/>
              </w:rPr>
              <w:t>WM-DOK-0002</w:t>
            </w:r>
          </w:p>
        </w:tc>
        <w:tc>
          <w:tcPr>
            <w:tcW w:type="dxa" w:w="2268"/>
          </w:tcPr>
          <w:p>
            <w:r>
              <w:rPr>
                <w:rFonts w:ascii="Times New Roman" w:hAnsi="Times New Roman"/>
                <w:sz w:val="20"/>
              </w:rPr>
              <w:t>Anlage_Leistungsbeschreibung_V2_4.docx</w:t>
            </w:r>
          </w:p>
        </w:tc>
        <w:tc>
          <w:tcPr>
            <w:tcW w:type="dxa" w:w="2268"/>
          </w:tcPr>
          <w:p>
            <w:r>
              <w:rPr>
                <w:rFonts w:ascii="Times New Roman" w:hAnsi="Times New Roman"/>
                <w:sz w:val="20"/>
              </w:rPr>
              <w:t>bearbeitbare Word-Datei, keine Signaturen</w:t>
            </w:r>
          </w:p>
        </w:tc>
        <w:tc>
          <w:tcPr>
            <w:tcW w:type="dxa" w:w="2268"/>
          </w:tcPr>
          <w:p>
            <w:r>
              <w:rPr>
                <w:rFonts w:ascii="Times New Roman" w:hAnsi="Times New Roman"/>
                <w:sz w:val="20"/>
              </w:rPr>
              <w:t>nur als PDF-Ausdruck K1.2</w:t>
            </w:r>
          </w:p>
        </w:tc>
      </w:tr>
      <w:tr>
        <w:tc>
          <w:tcPr>
            <w:tcW w:type="dxa" w:w="2268"/>
          </w:tcPr>
          <w:p>
            <w:r>
              <w:rPr>
                <w:rFonts w:ascii="Times New Roman" w:hAnsi="Times New Roman"/>
                <w:sz w:val="20"/>
              </w:rPr>
              <w:t>WM-DOK-0003</w:t>
            </w:r>
          </w:p>
        </w:tc>
        <w:tc>
          <w:tcPr>
            <w:tcW w:type="dxa" w:w="2268"/>
          </w:tcPr>
          <w:p>
            <w:r>
              <w:rPr>
                <w:rFonts w:ascii="Times New Roman" w:hAnsi="Times New Roman"/>
                <w:sz w:val="20"/>
              </w:rPr>
              <w:t>N07_Taktzeitverkuerzung_signed.pdf</w:t>
            </w:r>
          </w:p>
        </w:tc>
        <w:tc>
          <w:tcPr>
            <w:tcW w:type="dxa" w:w="2268"/>
          </w:tcPr>
          <w:p>
            <w:r>
              <w:rPr>
                <w:rFonts w:ascii="Times New Roman" w:hAnsi="Times New Roman"/>
                <w:sz w:val="20"/>
              </w:rPr>
              <w:t>Nachtrag unterschrieben, Scan sauber</w:t>
            </w:r>
          </w:p>
        </w:tc>
        <w:tc>
          <w:tcPr>
            <w:tcW w:type="dxa" w:w="2268"/>
          </w:tcPr>
          <w:p>
            <w:r>
              <w:rPr>
                <w:rFonts w:ascii="Times New Roman" w:hAnsi="Times New Roman"/>
                <w:sz w:val="20"/>
              </w:rPr>
              <w:t>K1.3</w:t>
            </w:r>
          </w:p>
        </w:tc>
      </w:tr>
      <w:tr>
        <w:tc>
          <w:tcPr>
            <w:tcW w:type="dxa" w:w="2268"/>
          </w:tcPr>
          <w:p>
            <w:r>
              <w:rPr>
                <w:rFonts w:ascii="Times New Roman" w:hAnsi="Times New Roman"/>
                <w:sz w:val="20"/>
              </w:rPr>
              <w:t>WM-DOK-0004</w:t>
            </w:r>
          </w:p>
        </w:tc>
        <w:tc>
          <w:tcPr>
            <w:tcW w:type="dxa" w:w="2268"/>
          </w:tcPr>
          <w:p>
            <w:r>
              <w:rPr>
                <w:rFonts w:ascii="Times New Roman" w:hAnsi="Times New Roman"/>
                <w:sz w:val="20"/>
              </w:rPr>
              <w:t>AW Taktzeit und Preis.msg</w:t>
            </w:r>
          </w:p>
        </w:tc>
        <w:tc>
          <w:tcPr>
            <w:tcW w:type="dxa" w:w="2268"/>
          </w:tcPr>
          <w:p>
            <w:r>
              <w:rPr>
                <w:rFonts w:ascii="Times New Roman" w:hAnsi="Times New Roman"/>
                <w:sz w:val="20"/>
              </w:rPr>
              <w:t>Outlook-Nachricht mit Anlagen</w:t>
            </w:r>
          </w:p>
        </w:tc>
        <w:tc>
          <w:tcPr>
            <w:tcW w:type="dxa" w:w="2268"/>
          </w:tcPr>
          <w:p>
            <w:r>
              <w:rPr>
                <w:rFonts w:ascii="Times New Roman" w:hAnsi="Times New Roman"/>
                <w:sz w:val="20"/>
              </w:rPr>
              <w:t>EML-Export K1.4, Anhang nicht doppelt</w:t>
            </w:r>
          </w:p>
        </w:tc>
      </w:tr>
      <w:tr>
        <w:tc>
          <w:tcPr>
            <w:tcW w:type="dxa" w:w="2268"/>
          </w:tcPr>
          <w:p>
            <w:r>
              <w:rPr>
                <w:rFonts w:ascii="Times New Roman" w:hAnsi="Times New Roman"/>
                <w:sz w:val="20"/>
              </w:rPr>
              <w:t>WM-DOK-0005</w:t>
            </w:r>
          </w:p>
        </w:tc>
        <w:tc>
          <w:tcPr>
            <w:tcW w:type="dxa" w:w="2268"/>
          </w:tcPr>
          <w:p>
            <w:r>
              <w:rPr>
                <w:rFonts w:ascii="Times New Roman" w:hAnsi="Times New Roman"/>
                <w:sz w:val="20"/>
              </w:rPr>
              <w:t>KB_Bestaetigung_19072024.pdf</w:t>
            </w:r>
          </w:p>
        </w:tc>
        <w:tc>
          <w:tcPr>
            <w:tcW w:type="dxa" w:w="2268"/>
          </w:tcPr>
          <w:p>
            <w:r>
              <w:rPr>
                <w:rFonts w:ascii="Times New Roman" w:hAnsi="Times New Roman"/>
                <w:sz w:val="20"/>
              </w:rPr>
              <w:t>kaufmännische Bestätigung, eine Seite</w:t>
            </w:r>
          </w:p>
        </w:tc>
        <w:tc>
          <w:tcPr>
            <w:tcW w:type="dxa" w:w="2268"/>
          </w:tcPr>
          <w:p>
            <w:r>
              <w:rPr>
                <w:rFonts w:ascii="Times New Roman" w:hAnsi="Times New Roman"/>
                <w:sz w:val="20"/>
              </w:rPr>
              <w:t>K1.5</w:t>
            </w:r>
          </w:p>
        </w:tc>
      </w:tr>
    </w:tbl>
    <w:p>
      <w:pPr>
        <w:pStyle w:val="Heading2"/>
      </w:pPr>
      <w:r>
        <w:rPr>
          <w:rFonts w:ascii="Times New Roman" w:hAnsi="Times New Roman"/>
        </w:rPr>
        <w:t>Entscheidung</w:t>
      </w:r>
    </w:p>
    <w:p>
      <w:pPr>
        <w:jc w:val="left"/>
      </w:pPr>
      <w:r>
        <w:t>K1 wird als Konvolut eingereicht. Deckblatt erforderlich, weil fünf Dokumente gemeinsam den Vertragsumfang und die Anordnung der Mehrleistung belegen. Die Unterlagen dürfen nicht als K1 bis K5 laufen, weil der Schriftsatz sie zusammen als Vertragsgrundlage einführt und die Folgeanlagen K2 ff. bereits für Abnahme, Rechnung und Nachträge reserviert sind.</w:t>
      </w:r>
    </w:p>
    <w:p>
      <w:pPr>
        <w:pStyle w:val="Heading2"/>
      </w:pPr>
      <w:r>
        <w:rPr>
          <w:rFonts w:ascii="Times New Roman" w:hAnsi="Times New Roman"/>
        </w:rPr>
        <w:t>Schriftsatzanker</w:t>
      </w:r>
    </w:p>
    <w:p>
      <w:pPr>
        <w:ind w:left="567"/>
      </w:pPr>
      <w:r>
        <w:rPr>
          <w:i/>
        </w:rPr>
        <w:t>Die vertragliche Grundlage der streitgegenständlichen Lackieranlage ergibt sich aus dem Nachunternehmervertrag vom 28.03.2024 nebst Anlagenbeschreibung, Nachtrag N-07 sowie der bestätigenden E-Mail- und kaufmännischen Korrespondenz der Beklagten, zusammengefasst als Anlage K1 (K1.1 bis K1.5).</w:t>
      </w:r>
    </w:p>
    <w:p>
      <w:pPr>
        <w:pStyle w:val="Heading2"/>
      </w:pPr>
      <w:r>
        <w:rPr>
          <w:rFonts w:ascii="Times New Roman" w:hAnsi="Times New Roman"/>
        </w:rPr>
        <w:t>Offene Punkte</w:t>
      </w:r>
    </w:p>
    <w:p>
      <w:pPr>
        <w:pStyle w:val="ListBullet"/>
      </w:pPr>
      <w:r>
        <w:t>Word-Datei Leistungsbeschreibung V2.4 muss als PDF exportiert werden; Exportdatum und Bearbeiter in interner Matrix vermerken.</w:t>
      </w:r>
    </w:p>
    <w:p>
      <w:pPr>
        <w:pStyle w:val="ListBullet"/>
      </w:pPr>
      <w:r>
        <w:t>Outlook-Nachricht nicht nur als Screenshot, sondern als EML/PDF mit Headern sichern.</w:t>
      </w:r>
    </w:p>
    <w:p>
      <w:pPr>
        <w:pStyle w:val="ListBullet"/>
      </w:pPr>
      <w:r>
        <w:t>K1.2 enthält Namen von drei Autoform-Mitarbeitern; für Gericht voraussichtlich nicht schwärzen, weil Ansprechpartner in Projektkommunikation relevant.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