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Duplikat- und Hashlog — Erläuterung zur Arbeitsmatrix</w:t>
      </w:r>
    </w:p>
    <w:p>
      <w:pPr>
        <w:pStyle w:val="Heading2"/>
      </w:pPr>
      <w:r>
        <w:rPr>
          <w:rFonts w:ascii="Times New Roman" w:hAnsi="Times New Roman"/>
        </w:rPr>
        <w:t>Warum dieses Log geführt wird</w:t>
      </w:r>
    </w:p>
    <w:p>
      <w:pPr>
        <w:jc w:val="left"/>
      </w:pPr>
      <w:r>
        <w:t>Der Mandantenstick enthielt mehrere Dateien, die inhaltlich identisch waren, aber unterschiedliche Namen oder Kompressionsstände hatten. Für die gerichtliche Fassung darf nicht aus Versehen die falsche Version verwendet werden. Das Hashlog dient nur der internen Kontrolle und wird nicht ohne Anlass eingereicht.</w:t>
      </w:r>
    </w:p>
    <w:p>
      <w:pPr>
        <w:pStyle w:val="Heading2"/>
      </w:pPr>
      <w:r>
        <w:rPr>
          <w:rFonts w:ascii="Times New Roman" w:hAnsi="Times New Roman"/>
        </w:rPr>
        <w:t>Auffällige Dokumentfamilien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Familie</w:t>
            </w:r>
          </w:p>
        </w:tc>
        <w:tc>
          <w:tcPr>
            <w:tcW w:type="dxa" w:w="2268"/>
          </w:tcPr>
          <w:p>
            <w:r>
              <w:rPr>
                <w:rFonts w:ascii="Times New Roman" w:hAnsi="Times New Roman"/>
                <w:b/>
                <w:sz w:val="20"/>
              </w:rPr>
              <w:t>Dateien</w:t>
            </w:r>
          </w:p>
        </w:tc>
        <w:tc>
          <w:tcPr>
            <w:tcW w:type="dxa" w:w="2268"/>
          </w:tcPr>
          <w:p>
            <w:r>
              <w:rPr>
                <w:rFonts w:ascii="Times New Roman" w:hAnsi="Times New Roman"/>
                <w:b/>
                <w:sz w:val="20"/>
              </w:rPr>
              <w:t>Entscheidung</w:t>
            </w:r>
          </w:p>
        </w:tc>
        <w:tc>
          <w:tcPr>
            <w:tcW w:type="dxa" w:w="2268"/>
          </w:tcPr>
          <w:p>
            <w:r>
              <w:rPr>
                <w:rFonts w:ascii="Times New Roman" w:hAnsi="Times New Roman"/>
                <w:b/>
                <w:sz w:val="20"/>
              </w:rPr>
              <w:t>Risiko</w:t>
            </w:r>
          </w:p>
        </w:tc>
      </w:tr>
      <w:tr>
        <w:tc>
          <w:tcPr>
            <w:tcW w:type="dxa" w:w="2268"/>
          </w:tcPr>
          <w:p>
            <w:r>
              <w:rPr>
                <w:rFonts w:ascii="Times New Roman" w:hAnsi="Times New Roman"/>
                <w:sz w:val="20"/>
              </w:rPr>
              <w:t>Vertrag 28.03.2024</w:t>
            </w:r>
          </w:p>
        </w:tc>
        <w:tc>
          <w:tcPr>
            <w:tcW w:type="dxa" w:w="2268"/>
          </w:tcPr>
          <w:p>
            <w:r>
              <w:rPr>
                <w:rFonts w:ascii="Times New Roman" w:hAnsi="Times New Roman"/>
                <w:sz w:val="20"/>
              </w:rPr>
              <w:t>3 PDFs, 1 Scan aus E-Mail</w:t>
            </w:r>
          </w:p>
        </w:tc>
        <w:tc>
          <w:tcPr>
            <w:tcW w:type="dxa" w:w="2268"/>
          </w:tcPr>
          <w:p>
            <w:r>
              <w:rPr>
                <w:rFonts w:ascii="Times New Roman" w:hAnsi="Times New Roman"/>
                <w:sz w:val="20"/>
              </w:rPr>
              <w:t>beste OCR-Fassung als K1.1</w:t>
            </w:r>
          </w:p>
        </w:tc>
        <w:tc>
          <w:tcPr>
            <w:tcW w:type="dxa" w:w="2268"/>
          </w:tcPr>
          <w:p>
            <w:r>
              <w:rPr>
                <w:rFonts w:ascii="Times New Roman" w:hAnsi="Times New Roman"/>
                <w:sz w:val="20"/>
              </w:rPr>
              <w:t>Doppelte Seitenzählung vermeiden</w:t>
            </w:r>
          </w:p>
        </w:tc>
      </w:tr>
      <w:tr>
        <w:tc>
          <w:tcPr>
            <w:tcW w:type="dxa" w:w="2268"/>
          </w:tcPr>
          <w:p>
            <w:r>
              <w:rPr>
                <w:rFonts w:ascii="Times New Roman" w:hAnsi="Times New Roman"/>
                <w:sz w:val="20"/>
              </w:rPr>
              <w:t>Nachtrag N-07</w:t>
            </w:r>
          </w:p>
        </w:tc>
        <w:tc>
          <w:tcPr>
            <w:tcW w:type="dxa" w:w="2268"/>
          </w:tcPr>
          <w:p>
            <w:r>
              <w:rPr>
                <w:rFonts w:ascii="Times New Roman" w:hAnsi="Times New Roman"/>
                <w:sz w:val="20"/>
              </w:rPr>
              <w:t>2 PDFs, 1 Foto</w:t>
            </w:r>
          </w:p>
        </w:tc>
        <w:tc>
          <w:tcPr>
            <w:tcW w:type="dxa" w:w="2268"/>
          </w:tcPr>
          <w:p>
            <w:r>
              <w:rPr>
                <w:rFonts w:ascii="Times New Roman" w:hAnsi="Times New Roman"/>
                <w:sz w:val="20"/>
              </w:rPr>
              <w:t>signiertes PDF als K1.3</w:t>
            </w:r>
          </w:p>
        </w:tc>
        <w:tc>
          <w:tcPr>
            <w:tcW w:type="dxa" w:w="2268"/>
          </w:tcPr>
          <w:p>
            <w:r>
              <w:rPr>
                <w:rFonts w:ascii="Times New Roman" w:hAnsi="Times New Roman"/>
                <w:sz w:val="20"/>
              </w:rPr>
              <w:t>Foto nicht einreichen</w:t>
            </w:r>
          </w:p>
        </w:tc>
      </w:tr>
      <w:tr>
        <w:tc>
          <w:tcPr>
            <w:tcW w:type="dxa" w:w="2268"/>
          </w:tcPr>
          <w:p>
            <w:r>
              <w:rPr>
                <w:rFonts w:ascii="Times New Roman" w:hAnsi="Times New Roman"/>
                <w:sz w:val="20"/>
              </w:rPr>
              <w:t>Abnahmeprotokoll</w:t>
            </w:r>
          </w:p>
        </w:tc>
        <w:tc>
          <w:tcPr>
            <w:tcW w:type="dxa" w:w="2268"/>
          </w:tcPr>
          <w:p>
            <w:r>
              <w:rPr>
                <w:rFonts w:ascii="Times New Roman" w:hAnsi="Times New Roman"/>
                <w:sz w:val="20"/>
              </w:rPr>
              <w:t>1 PDF, 1 DOCX, 1 Scan</w:t>
            </w:r>
          </w:p>
        </w:tc>
        <w:tc>
          <w:tcPr>
            <w:tcW w:type="dxa" w:w="2268"/>
          </w:tcPr>
          <w:p>
            <w:r>
              <w:rPr>
                <w:rFonts w:ascii="Times New Roman" w:hAnsi="Times New Roman"/>
                <w:sz w:val="20"/>
              </w:rPr>
              <w:t>unterschriebenes PDF als K2</w:t>
            </w:r>
          </w:p>
        </w:tc>
        <w:tc>
          <w:tcPr>
            <w:tcW w:type="dxa" w:w="2268"/>
          </w:tcPr>
          <w:p>
            <w:r>
              <w:rPr>
                <w:rFonts w:ascii="Times New Roman" w:hAnsi="Times New Roman"/>
                <w:sz w:val="20"/>
              </w:rPr>
              <w:t>DOCX nur intern</w:t>
            </w:r>
          </w:p>
        </w:tc>
      </w:tr>
      <w:tr>
        <w:tc>
          <w:tcPr>
            <w:tcW w:type="dxa" w:w="2268"/>
          </w:tcPr>
          <w:p>
            <w:r>
              <w:rPr>
                <w:rFonts w:ascii="Times New Roman" w:hAnsi="Times New Roman"/>
                <w:sz w:val="20"/>
              </w:rPr>
              <w:t>Kontoauszug Zahlung</w:t>
            </w:r>
          </w:p>
        </w:tc>
        <w:tc>
          <w:tcPr>
            <w:tcW w:type="dxa" w:w="2268"/>
          </w:tcPr>
          <w:p>
            <w:r>
              <w:rPr>
                <w:rFonts w:ascii="Times New Roman" w:hAnsi="Times New Roman"/>
                <w:sz w:val="20"/>
              </w:rPr>
              <w:t>1 Screenshot</w:t>
            </w:r>
          </w:p>
        </w:tc>
        <w:tc>
          <w:tcPr>
            <w:tcW w:type="dxa" w:w="2268"/>
          </w:tcPr>
          <w:p>
            <w:r>
              <w:rPr>
                <w:rFonts w:ascii="Times New Roman" w:hAnsi="Times New Roman"/>
                <w:sz w:val="20"/>
              </w:rPr>
              <w:t>Original-PDF fehlt</w:t>
            </w:r>
          </w:p>
        </w:tc>
        <w:tc>
          <w:tcPr>
            <w:tcW w:type="dxa" w:w="2268"/>
          </w:tcPr>
          <w:p>
            <w:r>
              <w:rPr>
                <w:rFonts w:ascii="Times New Roman" w:hAnsi="Times New Roman"/>
                <w:sz w:val="20"/>
              </w:rPr>
              <w:t>K4 derzeit nicht gerichtsfest</w:t>
            </w:r>
          </w:p>
        </w:tc>
      </w:tr>
      <w:tr>
        <w:tc>
          <w:tcPr>
            <w:tcW w:type="dxa" w:w="2268"/>
          </w:tcPr>
          <w:p>
            <w:r>
              <w:rPr>
                <w:rFonts w:ascii="Times New Roman" w:hAnsi="Times New Roman"/>
                <w:sz w:val="20"/>
              </w:rPr>
              <w:t>Chat N-14</w:t>
            </w:r>
          </w:p>
        </w:tc>
        <w:tc>
          <w:tcPr>
            <w:tcW w:type="dxa" w:w="2268"/>
          </w:tcPr>
          <w:p>
            <w:r>
              <w:rPr>
                <w:rFonts w:ascii="Times New Roman" w:hAnsi="Times New Roman"/>
                <w:sz w:val="20"/>
              </w:rPr>
              <w:t>4 Screenshots</w:t>
            </w:r>
          </w:p>
        </w:tc>
        <w:tc>
          <w:tcPr>
            <w:tcW w:type="dxa" w:w="2268"/>
          </w:tcPr>
          <w:p>
            <w:r>
              <w:rPr>
                <w:rFonts w:ascii="Times New Roman" w:hAnsi="Times New Roman"/>
                <w:sz w:val="20"/>
              </w:rPr>
              <w:t>Konvolut K18 mit Exportvermerk</w:t>
            </w:r>
          </w:p>
        </w:tc>
        <w:tc>
          <w:tcPr>
            <w:tcW w:type="dxa" w:w="2268"/>
          </w:tcPr>
          <w:p>
            <w:r>
              <w:rPr>
                <w:rFonts w:ascii="Times New Roman" w:hAnsi="Times New Roman"/>
                <w:sz w:val="20"/>
              </w:rPr>
              <w:t>Kontextlücke 14:22-15:03 Uhr</w:t>
            </w:r>
          </w:p>
        </w:tc>
      </w:tr>
    </w:tbl>
    <w:p>
      <w:pPr>
        <w:pStyle w:val="Heading2"/>
      </w:pPr>
      <w:r>
        <w:rPr>
          <w:rFonts w:ascii="Times New Roman" w:hAnsi="Times New Roman"/>
        </w:rPr>
        <w:t>Arbeitsregel</w:t>
      </w:r>
    </w:p>
    <w:p>
      <w:pPr>
        <w:jc w:val="left"/>
      </w:pPr>
      <w:r>
        <w:t>Wenn zwei Dateien denselben Inhalt haben, wird nur die gerichtliche Fassung in das Anlagenpaket übernommen. Die übrigen Fassungen bleiben in der internen Arbeitsakte mit Vermerk „nicht einreichen“. Wenn zwei Dateien ähnlich, aber nicht identisch sind, wird die Abweichung beschrieben; bloße Annahmen über Identität sind verboten.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