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Redaktionsprotokoll — Kontoauszug, Drittgeheimnisse, ProTec-Bericht</w:t>
      </w:r>
    </w:p>
    <w:p>
      <w:pPr>
        <w:jc w:val="left"/>
      </w:pPr>
      <w:r>
        <w:t>Bearbeiter: Lea Stang</w:t>
      </w:r>
    </w:p>
    <w:p>
      <w:pPr>
        <w:jc w:val="left"/>
      </w:pPr>
      <w:r>
        <w:t>Kontrolle: RA Dr. Söhnchen</w:t>
      </w:r>
    </w:p>
    <w:p>
      <w:pPr>
        <w:jc w:val="left"/>
      </w:pPr>
      <w:r>
        <w:t>Stand: 22.04.2026, 12:10 Uhr</w:t>
      </w:r>
    </w:p>
    <w:p>
      <w:pPr>
        <w:pStyle w:val="Heading2"/>
      </w:pPr>
      <w:r>
        <w:rPr>
          <w:rFonts w:ascii="Times New Roman" w:hAnsi="Times New Roman"/>
        </w:rPr>
        <w:t>K4 Kontoauszug</w:t>
      </w:r>
    </w:p>
    <w:p>
      <w:pPr>
        <w:jc w:val="left"/>
      </w:pPr>
      <w:r>
        <w:t>Der Kontoauszug soll nur den Zahlungseingang der K+B Industriebau AG über 7.990.000 EUR am 02.12.2024 belegen. Andere Buchungen derselben Woche betreffen Gehälter, Steuerzahlungen und Lieferanten, die für den Rechtsstreit unerheblich sind.</w:t>
      </w:r>
    </w:p>
    <w:p>
      <w:pPr>
        <w:jc w:val="left"/>
      </w:pPr>
      <w:r>
        <w:t>Entscheidung: Nur Seite mit Zahlungseingang einreichen, nicht relevante Buchungen schwärzen, Salden nur sichtbar lassen, soweit für Zuordnung erforderlich.</w:t>
      </w:r>
    </w:p>
    <w:p>
      <w:pPr>
        <w:pStyle w:val="Heading2"/>
      </w:pPr>
      <w:r>
        <w:rPr>
          <w:rFonts w:ascii="Times New Roman" w:hAnsi="Times New Roman"/>
        </w:rPr>
        <w:t>K17 ProTec-Fehlgriff</w:t>
      </w:r>
    </w:p>
    <w:p>
      <w:pPr>
        <w:jc w:val="left"/>
      </w:pPr>
      <w:r>
        <w:t>Der versehentlich eingespielte BSI-Sicherheitsbericht aus einem anderen Mandat bleibt vollständig aus dem Anlagenpaket entfernt. Er wird nicht als Anlage, nicht als Nachweis und nicht als Beispiel erwähnt. Die interne Dokumentation bleibt in der Kanzleiakte.</w:t>
      </w:r>
    </w:p>
    <w:p>
      <w:pPr>
        <w:pStyle w:val="Heading2"/>
      </w:pPr>
      <w:r>
        <w:rPr>
          <w:rFonts w:ascii="Times New Roman" w:hAnsi="Times New Roman"/>
        </w:rPr>
        <w:t>K1.2 Technische Anlagenbeschreibung</w:t>
      </w:r>
    </w:p>
    <w:p>
      <w:pPr>
        <w:jc w:val="left"/>
      </w:pPr>
      <w:r>
        <w:t>Enthält Ansprechpartner und Durchwahlnummern von Autoform-Mitarbeitern. Entscheidung: derzeit nicht schwärzen, weil die Projektrollen für Freigaben und technische Kommunikation relevant sind. Privatadressen sind nicht enthalten.</w:t>
      </w:r>
    </w:p>
    <w:p>
      <w:pPr>
        <w:pStyle w:val="Heading2"/>
      </w:pPr>
      <w:r>
        <w:rPr>
          <w:rFonts w:ascii="Times New Roman" w:hAnsi="Times New Roman"/>
        </w:rPr>
        <w:t>K18 Chatverlauf</w:t>
      </w:r>
    </w:p>
    <w:p>
      <w:pPr>
        <w:jc w:val="left"/>
      </w:pPr>
      <w:r>
        <w:t>Privater Smalltalk zwischen Bauleitern vor und nach der fachlichen Passage wird nicht eingereicht. Die gekürzte Fassung muss kenntlich machen, dass sie ein Auszug ist, und Zeitstempel vor/nach der fachlichen Passage enthalten.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