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BEM-Defizit — Schriftverkehr und Beurteilung</w:t>
      </w:r>
    </w:p>
    <w:p>
      <w:pPr>
        <w:jc w:val="left"/>
      </w:pPr>
      <w:r>
        <w:t>Betriebliches Eingliederungsmanagement (BEM) nach § 167 Abs. 2 SGB IX. Dokumentation der fehlenden Einleitung des BEM-Verfahrens durch den Arbeitgeber.</w:t>
      </w:r>
    </w:p>
    <w:p/>
    <w:p>
      <w:pPr>
        <w:pStyle w:val="Heading2"/>
      </w:pPr>
      <w:r>
        <w:rPr>
          <w:rFonts w:ascii="Times New Roman" w:hAnsi="Times New Roman"/>
        </w:rPr>
        <w:t>1. Hintergrund: Voraussetzungen des BEM</w:t>
      </w:r>
    </w:p>
    <w:p>
      <w:pPr>
        <w:jc w:val="left"/>
      </w:pPr>
      <w:r>
        <w:t>§ 167 Abs. 2 SGB IX verpflichtet den Arbeitgeber, ein betriebliches Eingliederungsmanagement anzubieten, sobald eine Arbeitnehmerin innerhalb von 12 Monaten länger als 6 Wochen ununterbrochen oder wiederholt arbeitsunfähig war. Diese Schwelle hat Körber mit ihrer ersten AU-Phase (25.06.–07.08.2024, 31 Arbeitstage = 43 Kalendertage) schon nach dem ersten AU-Block deutlich überschritten; mit der zweiten Phase (02.09.–19.09.2024) war die Sechs-Wochen-Schwelle rechnerisch auch schon nach Kalenderwochen klar erreicht.</w:t>
      </w:r>
    </w:p>
    <w:p>
      <w:pPr>
        <w:jc w:val="left"/>
      </w:pPr>
      <w:r>
        <w:t>Sinn und Zweck: Das BEM soll mit dem erkrankten Mitarbeiter gemeinsam klären, wie die Arbeitsunfähigkeit überwunden und weiterer Erkrankung vorgebeugt werden kann. Die Einleitung setzt eine Einladung des Arbeitgebers voraus; die Arbeitnehmerin kann zustimmen oder ablehnen.</w:t>
      </w:r>
    </w:p>
    <w:p/>
    <w:p>
      <w:pPr>
        <w:pStyle w:val="Heading2"/>
      </w:pPr>
      <w:r>
        <w:rPr>
          <w:rFonts w:ascii="Times New Roman" w:hAnsi="Times New Roman"/>
        </w:rPr>
        <w:t>2. Körbers Anfrage vom 29.07.2024 (E-Mail an Branitz)</w:t>
      </w:r>
    </w:p>
    <w:p>
      <w:pPr>
        <w:jc w:val="left"/>
      </w:pPr>
      <w:r>
        <w:t>Am 29.07.2024 schrieb Körber — noch während ihrer ersten AU-Phase — eine E-Mail an HR-Leiter Holger Branitz. Der Wortlaut dieser E-Mail liegt vor (Original in Aktenstück 05 / E-Mail-Datei beim Mandat):</w:t>
      </w:r>
    </w:p>
    <w:p>
      <w:pPr>
        <w:ind w:left="567"/>
      </w:pPr>
      <w:r>
        <w:rPr>
          <w:i/>
        </w:rPr>
        <w:t>Betreff: Betriebliches Eingliederungsmanagement — Anfrage</w:t>
      </w:r>
    </w:p>
    <w:p>
      <w:pPr>
        <w:ind w:left="567"/>
      </w:pPr>
    </w:p>
    <w:p>
      <w:pPr>
        <w:ind w:left="567"/>
      </w:pPr>
      <w:r>
        <w:rPr>
          <w:i/>
        </w:rPr>
        <w:t>Sehr geehrter Herr Branitz,</w:t>
      </w:r>
    </w:p>
    <w:p>
      <w:pPr>
        <w:ind w:left="567"/>
      </w:pPr>
    </w:p>
    <w:p>
      <w:pPr>
        <w:ind w:left="567"/>
      </w:pPr>
      <w:r>
        <w:rPr>
          <w:i/>
        </w:rPr>
        <w:t>ich befinde mich seit Ende Juni in ärztlicher Behandlung und bin arbeitsunfähig krankgeschrieben. Ich würde gerne wissen, ob seitens der Gesellschaft ein Betriebliches Eingliederungsmanagement nach § 167 Abs. 2 SGB IX angeboten wird, um gemeinsam Möglichkeiten für eine gesundheitsfördernde Weiterarbeit zu besprechen.</w:t>
      </w:r>
    </w:p>
    <w:p>
      <w:pPr>
        <w:ind w:left="567"/>
      </w:pPr>
    </w:p>
    <w:p>
      <w:pPr>
        <w:ind w:left="567"/>
      </w:pPr>
      <w:r>
        <w:rPr>
          <w:i/>
        </w:rPr>
        <w:t>Ich stehe für ein entsprechendes Gespräch zur Verfügung, sobald mein Gesundheitszustand dies erlaubt.</w:t>
      </w:r>
    </w:p>
    <w:p>
      <w:pPr>
        <w:ind w:left="567"/>
      </w:pPr>
    </w:p>
    <w:p>
      <w:pPr>
        <w:ind w:left="567"/>
      </w:pPr>
      <w:r>
        <w:rPr>
          <w:i/>
        </w:rPr>
        <w:t>Mit freundlichen Grüßen</w:t>
      </w:r>
    </w:p>
    <w:p>
      <w:pPr>
        <w:ind w:left="567"/>
      </w:pPr>
      <w:r>
        <w:rPr>
          <w:i/>
        </w:rPr>
        <w:t>Dr. Annika Körber</w:t>
      </w:r>
    </w:p>
    <w:p/>
    <w:p>
      <w:pPr>
        <w:pStyle w:val="Heading2"/>
      </w:pPr>
      <w:r>
        <w:rPr>
          <w:rFonts w:ascii="Times New Roman" w:hAnsi="Times New Roman"/>
        </w:rPr>
        <w:t>3. Reaktion Branitz (Auszug aus E-Mail vom 05.08.2024)</w:t>
      </w:r>
    </w:p>
    <w:p>
      <w:pPr>
        <w:jc w:val="left"/>
      </w:pPr>
      <w:r>
        <w:t>Branitz antwortete nach knapp sieben Tagen:</w:t>
      </w:r>
    </w:p>
    <w:p>
      <w:pPr>
        <w:ind w:left="567"/>
      </w:pPr>
      <w:r>
        <w:rPr>
          <w:i/>
        </w:rPr>
        <w:t>Betreff: AW: Betriebliches Eingliederungsmanagement — Anfrage</w:t>
      </w:r>
    </w:p>
    <w:p>
      <w:pPr>
        <w:ind w:left="567"/>
      </w:pPr>
    </w:p>
    <w:p>
      <w:pPr>
        <w:ind w:left="567"/>
      </w:pPr>
      <w:r>
        <w:rPr>
          <w:i/>
        </w:rPr>
        <w:t>Sehr geehrte Frau Dr. Körber,</w:t>
      </w:r>
    </w:p>
    <w:p>
      <w:pPr>
        <w:ind w:left="567"/>
      </w:pPr>
    </w:p>
    <w:p>
      <w:pPr>
        <w:ind w:left="567"/>
      </w:pPr>
      <w:r>
        <w:rPr>
          <w:i/>
        </w:rPr>
        <w:t>vielen Dank für Ihre Anfrage. Das Betriebliche Eingliederungsmanagement ist ein freiwilliges Angebot. Wir werden die Situation beobachten und uns gegebenenfalls wieder bei Ihnen melden.</w:t>
      </w:r>
    </w:p>
    <w:p>
      <w:pPr>
        <w:ind w:left="567"/>
      </w:pPr>
    </w:p>
    <w:p>
      <w:pPr>
        <w:ind w:left="567"/>
      </w:pPr>
      <w:r>
        <w:rPr>
          <w:i/>
        </w:rPr>
        <w:t>Mit freundlichen Grüßen</w:t>
      </w:r>
    </w:p>
    <w:p>
      <w:pPr>
        <w:ind w:left="567"/>
      </w:pPr>
      <w:r>
        <w:rPr>
          <w:i/>
        </w:rPr>
        <w:t>Holger Branitz</w:t>
      </w:r>
    </w:p>
    <w:p>
      <w:pPr>
        <w:jc w:val="left"/>
      </w:pPr>
      <w:r>
        <w:t>Diese Antwort enthält keine BEM-Einladung. Branitz hat ausdrücklich keine Initiative zur Einleitung des Verfahrens ergriffen. Die Formulierung „werden die Situation beobachten" ist kein Angebot im Sinne von § 167 Abs. 2 SGB IX.</w:t>
      </w:r>
    </w:p>
    <w:p/>
    <w:p>
      <w:pPr>
        <w:pStyle w:val="Heading2"/>
      </w:pPr>
      <w:r>
        <w:rPr>
          <w:rFonts w:ascii="Times New Roman" w:hAnsi="Times New Roman"/>
        </w:rPr>
        <w:t>4. Weiterer Verlauf</w:t>
      </w:r>
    </w:p>
    <w:p>
      <w:pPr>
        <w:jc w:val="left"/>
      </w:pPr>
      <w:r>
        <w:t>Nach der zweiten, dritten, vierten und fünften AU-Phase kam keine BEM-Einladung. Körber hat keine weiteren Anfragen gestellt (nach Auskunft Körbers hatte sie Angst, weiteren Druck auszulösen). Der Betriebsrat wurde nach Körbers Angaben auch nicht in ein BEM-Verfahren einbezogen.</w:t>
      </w:r>
    </w:p>
    <w:p/>
    <w:p>
      <w:pPr>
        <w:pStyle w:val="Heading2"/>
      </w:pPr>
      <w:r>
        <w:rPr>
          <w:rFonts w:ascii="Times New Roman" w:hAnsi="Times New Roman"/>
        </w:rPr>
        <w:t>5. Rechtliche Einordnung</w:t>
      </w:r>
    </w:p>
    <w:p>
      <w:pPr>
        <w:pStyle w:val="Heading3"/>
      </w:pPr>
      <w:r>
        <w:rPr>
          <w:rFonts w:ascii="Times New Roman" w:hAnsi="Times New Roman"/>
        </w:rPr>
        <w:t>5.1 BEM-Defizit als Voraussetzung für die Kündigung</w:t>
      </w:r>
    </w:p>
    <w:p>
      <w:pPr>
        <w:jc w:val="left"/>
      </w:pPr>
      <w:r>
        <w:t>Nach ständiger Rechtsprechung des BAG (vgl. BAG 20.11.2014 – 2 AZR 755/13; BAG 24.03.2011 – 2 AZR 170/10) führt das Fehlen eines ordnungsgemäßen BEM-Verfahrens nicht per se zur Unwirksamkeit der krankheitsbedingten Kündigung, bürdet dem Arbeitgeber aber eine erhöhte Darlegungs- und Beweislast auf.</w:t>
      </w:r>
    </w:p>
    <w:p>
      <w:pPr>
        <w:jc w:val="left"/>
      </w:pPr>
      <w:r>
        <w:t>Der Arbeitgeber muss in diesem Fall konkret darlegen, dass auch ein durchgeführtes BEM keine alternativen Beschäftigungsmöglichkeiten hätte ergeben können. Diese Darlegung scheitert hier voraussichtlich:</w:t>
      </w:r>
    </w:p>
    <w:p>
      <w:pPr>
        <w:pStyle w:val="ListBullet"/>
      </w:pPr>
      <w:r>
        <w:t>Körbers Gesundheitszustand ist nach aktueller Auskunft behandelbar und stabilisiert (Therapeutin Jäkel bestätigt laut Körber gute Prognose).</w:t>
      </w:r>
    </w:p>
    <w:p>
      <w:pPr>
        <w:pStyle w:val="ListBullet"/>
      </w:pPr>
      <w:r>
        <w:t>Die Standortschließung war im Juli 2024 noch nicht bekannt; zu diesem Zeitpunkt hätte ein BEM durchaus Sinn gemacht.</w:t>
      </w:r>
    </w:p>
    <w:p>
      <w:pPr>
        <w:pStyle w:val="ListBullet"/>
      </w:pPr>
      <w:r>
        <w:t>Eine Weiterbeschäftigung in einer anderen Funktion (Senior Advisor, Konzerntätigkeit) wäre denkbar gewesen.</w:t>
      </w:r>
    </w:p>
    <w:p>
      <w:pPr>
        <w:pStyle w:val="Heading3"/>
      </w:pPr>
      <w:r>
        <w:rPr>
          <w:rFonts w:ascii="Times New Roman" w:hAnsi="Times New Roman"/>
        </w:rPr>
        <w:t>5.2 Beweiswert des Branitz-Schreibens</w:t>
      </w:r>
    </w:p>
    <w:p>
      <w:pPr>
        <w:jc w:val="left"/>
      </w:pPr>
      <w:r>
        <w:t>Die E-Mail vom 05.08.2024 belegt, dass Branitz das BEM aktiv abgewimmelt hat. Der Arbeitgeber wird sich daher nicht auf ein „nicht mögliches" BEM berufen können. Die Klageschrift wird diesen Punkt prominent führen.</w:t>
      </w:r>
    </w:p>
    <w:p>
      <w:pPr>
        <w:pStyle w:val="Heading3"/>
      </w:pPr>
      <w:r>
        <w:rPr>
          <w:rFonts w:ascii="Times New Roman" w:hAnsi="Times New Roman"/>
        </w:rPr>
        <w:t>5.3 Anmerkung zur Kündigung selbst</w:t>
      </w:r>
    </w:p>
    <w:p>
      <w:pPr>
        <w:jc w:val="left"/>
      </w:pPr>
      <w:r>
        <w:t>In der Kündigung (Aktenstück 09) behauptet die Steinhoff SE: „Ein BEM war bisher nicht möglich, da die rechtlichen und organisatorischen Voraussetzungen nach § 167 Abs. 2 SGB IX bislang nicht vorlagen." Diese Behauptung ist sachlich falsch. Sie steht im direkten Widerspruch zur vorhandenen Korrespondenz.</w:t>
      </w:r>
    </w:p>
    <w:p>
      <w:pPr>
        <w:jc w:val="left"/>
      </w:pPr>
      <w:r>
        <w:rPr>
          <w:i/>
        </w:rPr>
        <w:t>RA Dr. Jonas Reuß, 04.06.2025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