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Resturlaub, Freistellungsklausel und BAG-Rechtsprechung</w:t>
      </w:r>
    </w:p>
    <w:p>
      <w:pPr>
        <w:jc w:val="left"/>
      </w:pPr>
      <w:r>
        <w:t>Internes Arbeitsvermerk. RA Dr. Jonas Reuß, 05.06.2025.</w:t>
      </w:r>
    </w:p>
    <w:p/>
    <w:p>
      <w:pPr>
        <w:pStyle w:val="Heading2"/>
      </w:pPr>
      <w:r>
        <w:rPr>
          <w:rFonts w:ascii="Times New Roman" w:hAnsi="Times New Roman"/>
        </w:rPr>
        <w:t>1. Resturlaubs-Buchführung (Stand 22.05.2025)</w:t>
      </w:r>
    </w:p>
    <w:p>
      <w:pPr>
        <w:jc w:val="left"/>
      </w:pPr>
      <w:r>
        <w:t>Körbers vertraglicher Urlaubsanspruch: 33 Arbeitstage/Jahr (laut Nachtrag I, unverändert durch Nachtrag II).</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Jahr</w:t>
            </w:r>
          </w:p>
        </w:tc>
        <w:tc>
          <w:tcPr>
            <w:tcW w:type="dxa" w:w="1512"/>
          </w:tcPr>
          <w:p>
            <w:r>
              <w:rPr>
                <w:rFonts w:ascii="Times New Roman" w:hAnsi="Times New Roman"/>
                <w:b/>
                <w:sz w:val="20"/>
              </w:rPr>
              <w:t>Anspruch (AT)</w:t>
            </w:r>
          </w:p>
        </w:tc>
        <w:tc>
          <w:tcPr>
            <w:tcW w:type="dxa" w:w="1512"/>
          </w:tcPr>
          <w:p>
            <w:r>
              <w:rPr>
                <w:rFonts w:ascii="Times New Roman" w:hAnsi="Times New Roman"/>
                <w:b/>
                <w:sz w:val="20"/>
              </w:rPr>
              <w:t>Genommener Urlaub</w:t>
            </w:r>
          </w:p>
        </w:tc>
        <w:tc>
          <w:tcPr>
            <w:tcW w:type="dxa" w:w="1512"/>
          </w:tcPr>
          <w:p>
            <w:r>
              <w:rPr>
                <w:rFonts w:ascii="Times New Roman" w:hAnsi="Times New Roman"/>
                <w:b/>
                <w:sz w:val="20"/>
              </w:rPr>
              <w:t>Resturlaub übertragen</w:t>
            </w:r>
          </w:p>
        </w:tc>
        <w:tc>
          <w:tcPr>
            <w:tcW w:type="dxa" w:w="1512"/>
          </w:tcPr>
          <w:p>
            <w:r>
              <w:rPr>
                <w:rFonts w:ascii="Times New Roman" w:hAnsi="Times New Roman"/>
                <w:b/>
                <w:sz w:val="20"/>
              </w:rPr>
              <w:t>Kranktage (AU)</w:t>
            </w:r>
          </w:p>
        </w:tc>
        <w:tc>
          <w:tcPr>
            <w:tcW w:type="dxa" w:w="1512"/>
          </w:tcPr>
          <w:p>
            <w:r>
              <w:rPr>
                <w:rFonts w:ascii="Times New Roman" w:hAnsi="Times New Roman"/>
                <w:b/>
                <w:sz w:val="20"/>
              </w:rPr>
              <w:t>Anmerkung</w:t>
            </w:r>
          </w:p>
        </w:tc>
      </w:tr>
      <w:tr>
        <w:tc>
          <w:tcPr>
            <w:tcW w:type="dxa" w:w="1512"/>
          </w:tcPr>
          <w:p>
            <w:r>
              <w:rPr>
                <w:rFonts w:ascii="Times New Roman" w:hAnsi="Times New Roman"/>
                <w:sz w:val="20"/>
              </w:rPr>
              <w:t>2022</w:t>
            </w:r>
          </w:p>
        </w:tc>
        <w:tc>
          <w:tcPr>
            <w:tcW w:type="dxa" w:w="1512"/>
          </w:tcPr>
          <w:p>
            <w:r>
              <w:rPr>
                <w:rFonts w:ascii="Times New Roman" w:hAnsi="Times New Roman"/>
                <w:sz w:val="20"/>
              </w:rPr>
              <w:t>33 Tage</w:t>
            </w:r>
          </w:p>
        </w:tc>
        <w:tc>
          <w:tcPr>
            <w:tcW w:type="dxa" w:w="1512"/>
          </w:tcPr>
          <w:p>
            <w:r>
              <w:rPr>
                <w:rFonts w:ascii="Times New Roman" w:hAnsi="Times New Roman"/>
                <w:sz w:val="20"/>
              </w:rPr>
              <w:t>30 Tage</w:t>
            </w:r>
          </w:p>
        </w:tc>
        <w:tc>
          <w:tcPr>
            <w:tcW w:type="dxa" w:w="1512"/>
          </w:tcPr>
          <w:p>
            <w:r>
              <w:rPr>
                <w:rFonts w:ascii="Times New Roman" w:hAnsi="Times New Roman"/>
                <w:sz w:val="20"/>
              </w:rPr>
              <w:t>3 Tage übertragen</w:t>
            </w:r>
          </w:p>
        </w:tc>
        <w:tc>
          <w:tcPr>
            <w:tcW w:type="dxa" w:w="1512"/>
          </w:tcPr>
          <w:p>
            <w:r>
              <w:rPr>
                <w:rFonts w:ascii="Times New Roman" w:hAnsi="Times New Roman"/>
                <w:sz w:val="20"/>
              </w:rPr>
              <w:t>0</w:t>
            </w:r>
          </w:p>
        </w:tc>
        <w:tc>
          <w:tcPr>
            <w:tcW w:type="dxa" w:w="1512"/>
          </w:tcPr>
          <w:p>
            <w:r>
              <w:rPr>
                <w:rFonts w:ascii="Times New Roman" w:hAnsi="Times New Roman"/>
                <w:sz w:val="20"/>
              </w:rPr>
              <w:t>normales Jahr</w:t>
            </w:r>
          </w:p>
        </w:tc>
      </w:tr>
      <w:tr>
        <w:tc>
          <w:tcPr>
            <w:tcW w:type="dxa" w:w="1512"/>
          </w:tcPr>
          <w:p>
            <w:r>
              <w:rPr>
                <w:rFonts w:ascii="Times New Roman" w:hAnsi="Times New Roman"/>
                <w:sz w:val="20"/>
              </w:rPr>
              <w:t>2023</w:t>
            </w:r>
          </w:p>
        </w:tc>
        <w:tc>
          <w:tcPr>
            <w:tcW w:type="dxa" w:w="1512"/>
          </w:tcPr>
          <w:p>
            <w:r>
              <w:rPr>
                <w:rFonts w:ascii="Times New Roman" w:hAnsi="Times New Roman"/>
                <w:sz w:val="20"/>
              </w:rPr>
              <w:t>33 Tage + 3 (Übertrag) = 36</w:t>
            </w:r>
          </w:p>
        </w:tc>
        <w:tc>
          <w:tcPr>
            <w:tcW w:type="dxa" w:w="1512"/>
          </w:tcPr>
          <w:p>
            <w:r>
              <w:rPr>
                <w:rFonts w:ascii="Times New Roman" w:hAnsi="Times New Roman"/>
                <w:sz w:val="20"/>
              </w:rPr>
              <w:t>28 Tage</w:t>
            </w:r>
          </w:p>
        </w:tc>
        <w:tc>
          <w:tcPr>
            <w:tcW w:type="dxa" w:w="1512"/>
          </w:tcPr>
          <w:p>
            <w:r>
              <w:rPr>
                <w:rFonts w:ascii="Times New Roman" w:hAnsi="Times New Roman"/>
                <w:sz w:val="20"/>
              </w:rPr>
              <w:t>8 Tage übertragen</w:t>
            </w:r>
          </w:p>
        </w:tc>
        <w:tc>
          <w:tcPr>
            <w:tcW w:type="dxa" w:w="1512"/>
          </w:tcPr>
          <w:p>
            <w:r>
              <w:rPr>
                <w:rFonts w:ascii="Times New Roman" w:hAnsi="Times New Roman"/>
                <w:sz w:val="20"/>
              </w:rPr>
              <w:t>0</w:t>
            </w:r>
          </w:p>
        </w:tc>
        <w:tc>
          <w:tcPr>
            <w:tcW w:type="dxa" w:w="1512"/>
          </w:tcPr>
          <w:p>
            <w:r>
              <w:rPr>
                <w:rFonts w:ascii="Times New Roman" w:hAnsi="Times New Roman"/>
                <w:sz w:val="20"/>
              </w:rPr>
              <w:t>Senior Advisor läuft</w:t>
            </w:r>
          </w:p>
        </w:tc>
      </w:tr>
      <w:tr>
        <w:tc>
          <w:tcPr>
            <w:tcW w:type="dxa" w:w="1512"/>
          </w:tcPr>
          <w:p>
            <w:r>
              <w:rPr>
                <w:rFonts w:ascii="Times New Roman" w:hAnsi="Times New Roman"/>
                <w:sz w:val="20"/>
              </w:rPr>
              <w:t>2024</w:t>
            </w:r>
          </w:p>
        </w:tc>
        <w:tc>
          <w:tcPr>
            <w:tcW w:type="dxa" w:w="1512"/>
          </w:tcPr>
          <w:p>
            <w:r>
              <w:rPr>
                <w:rFonts w:ascii="Times New Roman" w:hAnsi="Times New Roman"/>
                <w:sz w:val="20"/>
              </w:rPr>
              <w:t>33 Tage + 8 (Übertrag) = 41</w:t>
            </w:r>
          </w:p>
        </w:tc>
        <w:tc>
          <w:tcPr>
            <w:tcW w:type="dxa" w:w="1512"/>
          </w:tcPr>
          <w:p>
            <w:r>
              <w:rPr>
                <w:rFonts w:ascii="Times New Roman" w:hAnsi="Times New Roman"/>
                <w:sz w:val="20"/>
              </w:rPr>
              <w:t>19 Tage</w:t>
            </w:r>
          </w:p>
        </w:tc>
        <w:tc>
          <w:tcPr>
            <w:tcW w:type="dxa" w:w="1512"/>
          </w:tcPr>
          <w:p>
            <w:r>
              <w:rPr>
                <w:rFonts w:ascii="Times New Roman" w:hAnsi="Times New Roman"/>
                <w:sz w:val="20"/>
              </w:rPr>
              <w:t>22 Tage übertragen</w:t>
            </w:r>
          </w:p>
        </w:tc>
        <w:tc>
          <w:tcPr>
            <w:tcW w:type="dxa" w:w="1512"/>
          </w:tcPr>
          <w:p>
            <w:r>
              <w:rPr>
                <w:rFonts w:ascii="Times New Roman" w:hAnsi="Times New Roman"/>
                <w:sz w:val="20"/>
              </w:rPr>
              <w:t>84 (5 AU-Phasen)</w:t>
            </w:r>
          </w:p>
        </w:tc>
        <w:tc>
          <w:tcPr>
            <w:tcW w:type="dxa" w:w="1512"/>
          </w:tcPr>
          <w:p>
            <w:r>
              <w:rPr>
                <w:rFonts w:ascii="Times New Roman" w:hAnsi="Times New Roman"/>
                <w:sz w:val="20"/>
              </w:rPr>
              <w:t>Kränkungen, wenig Urlaub</w:t>
            </w:r>
          </w:p>
        </w:tc>
      </w:tr>
      <w:tr>
        <w:tc>
          <w:tcPr>
            <w:tcW w:type="dxa" w:w="1512"/>
          </w:tcPr>
          <w:p>
            <w:r>
              <w:rPr>
                <w:rFonts w:ascii="Times New Roman" w:hAnsi="Times New Roman"/>
                <w:sz w:val="20"/>
              </w:rPr>
              <w:t>2025 (01–05)</w:t>
            </w:r>
          </w:p>
        </w:tc>
        <w:tc>
          <w:tcPr>
            <w:tcW w:type="dxa" w:w="1512"/>
          </w:tcPr>
          <w:p>
            <w:r>
              <w:rPr>
                <w:rFonts w:ascii="Times New Roman" w:hAnsi="Times New Roman"/>
                <w:sz w:val="20"/>
              </w:rPr>
              <w:t>33 × 5/12 ≈ 14 Tage + 22 (Übertrag) = 36</w:t>
            </w:r>
          </w:p>
        </w:tc>
        <w:tc>
          <w:tcPr>
            <w:tcW w:type="dxa" w:w="1512"/>
          </w:tcPr>
          <w:p>
            <w:r>
              <w:rPr>
                <w:rFonts w:ascii="Times New Roman" w:hAnsi="Times New Roman"/>
                <w:sz w:val="20"/>
              </w:rPr>
              <w:t>nicht genommen</w:t>
            </w:r>
          </w:p>
        </w:tc>
        <w:tc>
          <w:tcPr>
            <w:tcW w:type="dxa" w:w="1512"/>
          </w:tcPr>
          <w:p>
            <w:r>
              <w:rPr>
                <w:rFonts w:ascii="Times New Roman" w:hAnsi="Times New Roman"/>
                <w:sz w:val="20"/>
              </w:rPr>
              <w:t>36 Tage</w:t>
            </w:r>
          </w:p>
        </w:tc>
        <w:tc>
          <w:tcPr>
            <w:tcW w:type="dxa" w:w="1512"/>
          </w:tcPr>
          <w:p>
            <w:r>
              <w:rPr>
                <w:rFonts w:ascii="Times New Roman" w:hAnsi="Times New Roman"/>
                <w:sz w:val="20"/>
              </w:rPr>
              <w:t>laufend AU</w:t>
            </w:r>
          </w:p>
        </w:tc>
        <w:tc>
          <w:tcPr>
            <w:tcW w:type="dxa" w:w="1512"/>
          </w:tcPr>
          <w:p>
            <w:r>
              <w:rPr>
                <w:rFonts w:ascii="Times New Roman" w:hAnsi="Times New Roman"/>
                <w:sz w:val="20"/>
              </w:rPr>
              <w:t>Stand Kündigung 22.05.2025</w:t>
            </w:r>
          </w:p>
        </w:tc>
      </w:tr>
    </w:tbl>
    <w:p>
      <w:pPr>
        <w:jc w:val="left"/>
      </w:pPr>
      <w:r>
        <w:rPr>
          <w:b/>
        </w:rPr>
        <w:t>Ergebnis: ca. 38 Urlaubstage offen</w:t>
      </w:r>
      <w:r>
        <w:t xml:space="preserve"> (Körbers Angabe aus dem Erstgespräch stimmt mit der Rechnung überein, mit leichten Rundungsdifferenzen).</w:t>
      </w:r>
    </w:p>
    <w:p/>
    <w:p>
      <w:pPr>
        <w:pStyle w:val="Heading2"/>
      </w:pPr>
      <w:r>
        <w:rPr>
          <w:rFonts w:ascii="Times New Roman" w:hAnsi="Times New Roman"/>
        </w:rPr>
        <w:t>2. Freistellungserklärung in der Kündigung</w:t>
      </w:r>
    </w:p>
    <w:p>
      <w:pPr>
        <w:jc w:val="left"/>
      </w:pPr>
      <w:r>
        <w:t>Das Kündigungsschreiben vom 22.05.2025 enthält keine ausdrückliche Freistellungserklärung. Der Aufhebungsvertragsentwurf (den Körber abgelehnt hat) enthielt in § 1 Abs. 2 eine unwiderrufliche Freistellung. Nach der abgelehnten Unterzeichnung hat Branitz in einer E-Mail vom 23.05.2025 auf die Freistellungsklausel in § 5 des Grundarbeitsvertrags verwiesen und erklärt, Körber sei „ab sofort freigestellt".</w:t>
      </w:r>
    </w:p>
    <w:p/>
    <w:p>
      <w:pPr>
        <w:pStyle w:val="Heading2"/>
      </w:pPr>
      <w:r>
        <w:rPr>
          <w:rFonts w:ascii="Times New Roman" w:hAnsi="Times New Roman"/>
        </w:rPr>
        <w:t>3. Rechtliche Analyse der Freistellungsklausel</w:t>
      </w:r>
    </w:p>
    <w:p>
      <w:pPr>
        <w:pStyle w:val="Heading3"/>
      </w:pPr>
      <w:r>
        <w:rPr>
          <w:rFonts w:ascii="Times New Roman" w:hAnsi="Times New Roman"/>
        </w:rPr>
        <w:t>3.1 Klausel im Grundvertrag (§ 5 Abs. 1)</w:t>
      </w:r>
    </w:p>
    <w:p>
      <w:pPr>
        <w:jc w:val="left"/>
      </w:pPr>
      <w:r>
        <w:t>„Die Gesellschaft ist berechtigt, die Arbeitnehmerin jederzeit ohne Angabe von Grund von der Verpflichtung zur Arbeitsleistung unter Fortzahlung der Vergütung freizustellen."</w:t>
      </w:r>
    </w:p>
    <w:p>
      <w:pPr>
        <w:pStyle w:val="Heading3"/>
      </w:pPr>
      <w:r>
        <w:rPr>
          <w:rFonts w:ascii="Times New Roman" w:hAnsi="Times New Roman"/>
        </w:rPr>
        <w:t>3.2 Klausel in Nachtrag II (§ 5 Ergänzung)</w:t>
      </w:r>
    </w:p>
    <w:p>
      <w:pPr>
        <w:jc w:val="left"/>
      </w:pPr>
      <w:r>
        <w:t>„Im Fall einer Freistellung wird der Erholungsurlaub nur angerechnet, wenn die Freistellung ausdrücklich als unwiderruflich bezeichnet und gleichzeitig konkret auf die verbleibenden Urlaubsansprüche Bezug genommen wird."</w:t>
      </w:r>
    </w:p>
    <w:p>
      <w:pPr>
        <w:pStyle w:val="Heading3"/>
      </w:pPr>
      <w:r>
        <w:rPr>
          <w:rFonts w:ascii="Times New Roman" w:hAnsi="Times New Roman"/>
        </w:rPr>
        <w:t>3.3 BAG-Rechtsprechung</w:t>
      </w:r>
    </w:p>
    <w:p>
      <w:pPr>
        <w:jc w:val="left"/>
      </w:pPr>
      <w:r>
        <w:t>Das BAG hat in mehreren Entscheidungen zur Urlaubsabgeltung bei Freistellungsklauseln klargestellt:</w:t>
      </w:r>
    </w:p>
    <w:p>
      <w:pPr>
        <w:jc w:val="left"/>
      </w:pPr>
      <w:r>
        <w:rPr>
          <w:b/>
        </w:rPr>
        <w:t>Grundsatz:</w:t>
      </w:r>
      <w:r>
        <w:t xml:space="preserve"> Eine pauschale Freistellungsklausel, die lediglich anordnet, dass während der Freistellung Urlaub als gewährt gilt, reicht nicht aus. Der Arbeitgeber muss den Urlaub konkret gewähren, d.h. dem Arbeitnehmer die Verfügungsfreiheit über seine Zeit tatsächlich einräumen und dies klar kommunizieren. Die bloße Formulierung „Urlaub wird angerechnet" genügt nicht.</w:t>
      </w:r>
    </w:p>
    <w:p>
      <w:pPr>
        <w:jc w:val="left"/>
      </w:pPr>
      <w:r>
        <w:t xml:space="preserve">Insbesondere: Die Freistellung muss ausdrücklich als </w:t>
      </w:r>
      <w:r>
        <w:rPr>
          <w:b/>
        </w:rPr>
        <w:t>unwiderruflich</w:t>
      </w:r>
      <w:r>
        <w:t xml:space="preserve"> bezeichnet sein. Eine widerrufliche Freistellung ermöglicht keine wirksame Urlaubsgewährung, weil der Arbeitnehmer während einer widerruflichen Freistellung nicht sicher sein kann, ob der Arbeitgeber die Freistellung zurücknimmt und er wieder zur Arbeit erscheinen muss. Die notwendige Verfügungsfreiheit fehlt (BAG, st. Rspr. zur Aufforderungspflicht und Urlaubsabgeltung bei Freistellung; vgl. auch BAG 19.02.2019 – 9 AZR 423/16 zur Hinweispflicht des Arbeitgebers auf drohenden Urlaubsverfall).</w:t>
      </w:r>
    </w:p>
    <w:p>
      <w:pPr>
        <w:jc w:val="left"/>
      </w:pPr>
      <w:r>
        <w:rPr>
          <w:b/>
        </w:rPr>
        <w:t>Anwendung auf den vorliegenden Fall:</w:t>
      </w:r>
    </w:p>
    <w:p>
      <w:pPr>
        <w:jc w:val="left"/>
      </w:pPr>
      <w:r>
        <w:t>Die E-Mail von Branitz vom 23.05.2025 enthält keine Formulierung, ob die Freistellung widerruflich oder unwiderruflich ist. Die Klausel in § 5 Nachtrag II setzt für eine wirksame Urlaubsanrechnung voraus, dass die Freistellung ausdrücklich als unwiderruflich bezeichnet wird — und dies fehlt. Die Klausel wurde von Steinhoff SE also nicht ordnungsgemäß angewendet.</w:t>
      </w:r>
    </w:p>
    <w:p>
      <w:pPr>
        <w:jc w:val="left"/>
      </w:pPr>
      <w:r>
        <w:rPr>
          <w:b/>
        </w:rPr>
        <w:t>Folge:</w:t>
      </w:r>
      <w:r>
        <w:t xml:space="preserve"> Die Urlaubsanrechnung während der Freistellung ist unwirksam. Die 38 Urlaubstage bleiben offen.</w:t>
      </w:r>
    </w:p>
    <w:p>
      <w:pPr>
        <w:pStyle w:val="Heading3"/>
      </w:pPr>
      <w:r>
        <w:rPr>
          <w:rFonts w:ascii="Times New Roman" w:hAnsi="Times New Roman"/>
        </w:rPr>
        <w:t>3.4 Verfallsregel § 7 BUrlG</w:t>
      </w:r>
    </w:p>
    <w:p>
      <w:pPr>
        <w:jc w:val="left"/>
      </w:pPr>
      <w:r>
        <w:t>§ 7 Abs. 3 BUrlG bestimmt, dass Urlaub, der nicht bis zum Ende des Kalenderjahres genommen wurde, verfällt, wenn er nicht aus dringenden betrieblichen oder persönlichen Gründen übertragen worden ist. Jedoch:</w:t>
      </w:r>
    </w:p>
    <w:p>
      <w:pPr>
        <w:pStyle w:val="ListNumber"/>
      </w:pPr>
      <w:r>
        <w:t>Urlaub aus 2024, der wegen Krankheit nicht genommen werden konnte, verfällt nach der Rechtsprechung des BAG (im Anschluss an EuGH, Rs. C-337/10, Neidel; C-214/10, KHS/Schulte) nicht, wenn der Verfall auf Umständen beruht, die der Arbeitnehmer nicht zu vertreten hat — insbesondere Krankheit. Urlaub, der wegen AU nicht genommen werden konnte, überträgt sich auf das Folgejahr und verfällt frühestens 15 Monate nach Ende des Urlaubsjahres (EuGH, Rs. C-337/10; BAG 07.08.2012 – 9 AZR 353/10).</w:t>
      </w:r>
    </w:p>
    <w:p>
      <w:pPr>
        <w:pStyle w:val="ListNumber"/>
      </w:pPr>
      <w:r>
        <w:t>Steinhoff SE hat nach aktuellem Stand keine nachweisbare Aufforderung an Körber gerichtet, ihren Urlaub zu nehmen, und sie auf einen drohenden Verfall hingewiesen. Nach der Rechtsprechung des BAG trifft den Arbeitgeber eine Mitwirkungspflicht (BAG, st. Rspr. zur Aufforderungspflicht): Er muss den Arbeitnehmer rechtzeitig und ausdrücklich auffordern, den Urlaub zu nehmen, und auf die Verfallsfolge hinweisen. Ohne diesen Hinweis kann der Verfall nicht eintreten.</w:t>
      </w:r>
    </w:p>
    <w:p>
      <w:pPr>
        <w:pStyle w:val="Heading3"/>
      </w:pPr>
      <w:r>
        <w:rPr>
          <w:rFonts w:ascii="Times New Roman" w:hAnsi="Times New Roman"/>
        </w:rPr>
        <w:t>3.5 Ergebnis</w:t>
      </w:r>
    </w:p>
    <w:p>
      <w:pPr>
        <w:jc w:val="left"/>
      </w:pPr>
      <w:r>
        <w:t xml:space="preserve">Die 38 offenen Urlaubstage sind offen und abzugelten. Bei einem täglichen Bruttolohn von 134.000 EUR / 250 Arbeitstage = 536 EUR/Tag × 38 Tage = </w:t>
      </w:r>
      <w:r>
        <w:rPr>
          <w:b/>
        </w:rPr>
        <w:t>20.368 EUR brutto</w:t>
      </w:r>
      <w:r>
        <w:t xml:space="preserve"> als Urlaubsabgeltungsanspruch nach § 7 Abs. 4 BUrlG.</w:t>
      </w:r>
    </w:p>
    <w:p>
      <w:pPr>
        <w:jc w:val="left"/>
      </w:pPr>
      <w:r>
        <w:t>Dieser Betrag ist als eigenständiger Hilfsantrag in die Klageschrift aufzunehmen und im Vergleich zu sichern.</w:t>
      </w:r>
    </w:p>
    <w:p>
      <w:pPr>
        <w:jc w:val="left"/>
      </w:pPr>
      <w:r>
        <w:rPr>
          <w:i/>
        </w:rPr>
        <w:t>RA Dr. Jonas Reuß, 05.06.2025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