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 — Körber / Steinhoff Präzisionsguss SE</w:t>
      </w:r>
    </w:p>
    <w:p>
      <w:pPr>
        <w:jc w:val="left"/>
      </w:pPr>
      <w:r>
        <w:t>Chronologie aller relevanten Ereignisse. Quellverweise auf die Aktenstücke in Klammern. Stand: 07.06.2025.</w:t>
      </w:r>
    </w:p>
    <w:p/>
    <w:p>
      <w:pPr>
        <w:pStyle w:val="Heading2"/>
      </w:pPr>
      <w:r>
        <w:rPr>
          <w:rFonts w:ascii="Times New Roman" w:hAnsi="Times New Roman"/>
        </w:rPr>
        <w:t>2012</w:t>
      </w:r>
    </w:p>
    <w:p>
      <w:pPr>
        <w:jc w:val="left"/>
      </w:pPr>
      <w:r>
        <w:rPr>
          <w:b/>
        </w:rPr>
        <w:t>01.03.2012</w:t>
      </w:r>
      <w:r>
        <w:t xml:space="preserve"> — Beginn Arbeitsverhältnis Körber / Steinhoff Präzisionsguss SE. Funktion: Leiterin Qualitätssicherung Werk Salzgitter. AT-Vertrag unterzeichnet. </w:t>
      </w:r>
      <w:r>
        <w:rPr>
          <w:i/>
        </w:rPr>
        <w:t>(Aktenstück 03)</w:t>
      </w:r>
    </w:p>
    <w:p/>
    <w:p>
      <w:pPr>
        <w:pStyle w:val="Heading2"/>
      </w:pPr>
      <w:r>
        <w:rPr>
          <w:rFonts w:ascii="Times New Roman" w:hAnsi="Times New Roman"/>
        </w:rPr>
        <w:t>2018</w:t>
      </w:r>
    </w:p>
    <w:p>
      <w:pPr>
        <w:jc w:val="left"/>
      </w:pPr>
      <w:r>
        <w:rPr>
          <w:b/>
        </w:rPr>
        <w:t>15.08.2018</w:t>
      </w:r>
      <w:r>
        <w:t xml:space="preserve"> — Nachtrag I zum Arbeitsvertrag: Ernennung zur Leiterin Werksinfrastruktur &amp; Prozesse (konzernweit), Gehaltserhöhung auf 118.000 EUR p.a., Urlaubserhöhung auf 33 Tage. </w:t>
      </w:r>
      <w:r>
        <w:rPr>
          <w:i/>
        </w:rPr>
        <w:t>(Aktenstück 03)</w:t>
      </w:r>
    </w:p>
    <w:p/>
    <w:p>
      <w:pPr>
        <w:pStyle w:val="Heading2"/>
      </w:pPr>
      <w:r>
        <w:rPr>
          <w:rFonts w:ascii="Times New Roman" w:hAnsi="Times New Roman"/>
        </w:rPr>
        <w:t>2021</w:t>
      </w:r>
    </w:p>
    <w:p>
      <w:pPr>
        <w:jc w:val="left"/>
      </w:pPr>
      <w:r>
        <w:rPr>
          <w:b/>
        </w:rPr>
        <w:t>01.09.2021</w:t>
      </w:r>
      <w:r>
        <w:t xml:space="preserve"> — Nachtrag II: Übernahme der Werksleitung Eberswalde als Nachfolgerin von Bernd Wolters (Ruhestand). Vergütung 134.000 EUR fix + Tantieme max. 18.000 EUR. Stellenbeschreibung identisch zur Vorgänger-Stellenbeschreibung (Wolters: 178.000 EUR fix + 35.000 EUR Tantieme). </w:t>
      </w:r>
      <w:r>
        <w:rPr>
          <w:i/>
        </w:rPr>
        <w:t>(Aktenstücke 03, 04, 13, 14)</w:t>
      </w:r>
    </w:p>
    <w:p/>
    <w:p>
      <w:pPr>
        <w:pStyle w:val="Heading2"/>
      </w:pPr>
      <w:r>
        <w:rPr>
          <w:rFonts w:ascii="Times New Roman" w:hAnsi="Times New Roman"/>
        </w:rPr>
        <w:t>2023</w:t>
      </w:r>
    </w:p>
    <w:p>
      <w:pPr>
        <w:jc w:val="left"/>
      </w:pPr>
      <w:r>
        <w:rPr>
          <w:b/>
        </w:rPr>
        <w:t>15.02.2023</w:t>
      </w:r>
      <w:r>
        <w:t xml:space="preserve"> — Erste Ergänzungsvereinbarung Senior Advisor Konzernprozesse (6 Monate, 20 % Arbeitszeit, Zulage 1.200 EUR/Monat). </w:t>
      </w:r>
      <w:r>
        <w:rPr>
          <w:i/>
        </w:rPr>
        <w:t>(Aktenstück 03, 16)</w:t>
      </w:r>
    </w:p>
    <w:p>
      <w:pPr>
        <w:jc w:val="left"/>
      </w:pPr>
      <w:r>
        <w:rPr>
          <w:b/>
        </w:rPr>
        <w:t>15.08.2023</w:t>
      </w:r>
      <w:r>
        <w:t xml:space="preserve"> — Verlängerung I Senior Advisor (schriftlich, 6 Monate). </w:t>
      </w:r>
      <w:r>
        <w:rPr>
          <w:i/>
        </w:rPr>
        <w:t>(Aktenstück 16)</w:t>
      </w:r>
    </w:p>
    <w:p/>
    <w:p>
      <w:pPr>
        <w:pStyle w:val="Heading2"/>
      </w:pPr>
      <w:r>
        <w:rPr>
          <w:rFonts w:ascii="Times New Roman" w:hAnsi="Times New Roman"/>
        </w:rPr>
        <w:t>2024</w:t>
      </w:r>
    </w:p>
    <w:p>
      <w:pPr>
        <w:jc w:val="left"/>
      </w:pPr>
      <w:r>
        <w:rPr>
          <w:b/>
        </w:rPr>
        <w:t>04.03.2024</w:t>
      </w:r>
      <w:r>
        <w:t xml:space="preserve"> — Körper stellt Auskunftsbegehren nach § 10 EntgTranspG über den Betriebsrat an HR-Leiter Branitz. </w:t>
      </w:r>
      <w:r>
        <w:rPr>
          <w:i/>
        </w:rPr>
        <w:t>(Aktenstück 13)</w:t>
      </w:r>
    </w:p>
    <w:p>
      <w:pPr>
        <w:jc w:val="left"/>
      </w:pPr>
      <w:r>
        <w:rPr>
          <w:b/>
        </w:rPr>
        <w:t>06.03.2024</w:t>
      </w:r>
      <w:r>
        <w:t xml:space="preserve"> — Eingangsbestätigung HR auf EntgTranspG-Anfrage. </w:t>
      </w:r>
      <w:r>
        <w:rPr>
          <w:i/>
        </w:rPr>
        <w:t>(Aktenstück 13)</w:t>
      </w:r>
    </w:p>
    <w:p>
      <w:pPr>
        <w:jc w:val="left"/>
      </w:pPr>
      <w:r>
        <w:rPr>
          <w:b/>
        </w:rPr>
        <w:t>15.02.2024</w:t>
      </w:r>
      <w:r>
        <w:t xml:space="preserve"> — Verlängerung II Senior Advisor (schriftlich, 6 Monate — Gesamtlaufzeit damit 18 Monate). </w:t>
      </w:r>
      <w:r>
        <w:rPr>
          <w:i/>
        </w:rPr>
        <w:t>(Aktenstück 16)</w:t>
      </w:r>
    </w:p>
    <w:p>
      <w:pPr>
        <w:jc w:val="left"/>
      </w:pPr>
      <w:r>
        <w:rPr>
          <w:b/>
        </w:rPr>
        <w:t>12.05.2024</w:t>
      </w:r>
      <w:r>
        <w:t xml:space="preserve"> — Körber sendet anonymen Hinweis über EthicsHub-Portal: Verdacht überhöhter Verrechnungspreise Steinhoff Rohstoffhandel GmbH. Fallnummer ETH-2024-0512-0078. </w:t>
      </w:r>
      <w:r>
        <w:rPr>
          <w:i/>
        </w:rPr>
        <w:t>(Aktenstück 06)</w:t>
      </w:r>
    </w:p>
    <w:p>
      <w:pPr>
        <w:jc w:val="left"/>
      </w:pPr>
      <w:r>
        <w:rPr>
          <w:b/>
        </w:rPr>
        <w:t>14.06.2024</w:t>
      </w:r>
      <w:r>
        <w:t xml:space="preserve"> — Antwort Steinhoff SE auf EntgTranspG-Anfrage (12 Tage nach gesetzlicher Frist): Median Vergleichsgruppe 147.000 EUR fix (Körbers Gehalt: 134.000 EUR). </w:t>
      </w:r>
      <w:r>
        <w:rPr>
          <w:i/>
        </w:rPr>
        <w:t>(Aktenstück 13)</w:t>
      </w:r>
    </w:p>
    <w:p>
      <w:pPr>
        <w:jc w:val="left"/>
      </w:pPr>
      <w:r>
        <w:rPr>
          <w:b/>
        </w:rPr>
        <w:t>18.06.2024</w:t>
      </w:r>
      <w:r>
        <w:t xml:space="preserve"> — E-Mail Kemnitz an Körber: Einladung zu „kurzfristigem persönlichem Gespräch zu internen Compliance-Themen". </w:t>
      </w:r>
      <w:r>
        <w:rPr>
          <w:i/>
        </w:rPr>
        <w:t>(Aktenstück 07)</w:t>
      </w:r>
    </w:p>
    <w:p>
      <w:pPr>
        <w:jc w:val="left"/>
      </w:pPr>
      <w:r>
        <w:rPr>
          <w:b/>
        </w:rPr>
        <w:t>20.06.2024</w:t>
      </w:r>
      <w:r>
        <w:t xml:space="preserve"> — Erstes Vier-Augen-Gespräch Kemnitz/Körber. Kemnitz signalisiert Kenntnis vom HinSchG-Hinweis ohne direkte Nennung. </w:t>
      </w:r>
      <w:r>
        <w:rPr>
          <w:i/>
        </w:rPr>
        <w:t>(Aktenstück 07)</w:t>
      </w:r>
    </w:p>
    <w:p>
      <w:pPr>
        <w:jc w:val="left"/>
      </w:pPr>
      <w:r>
        <w:rPr>
          <w:b/>
        </w:rPr>
        <w:t>09.07.2024</w:t>
      </w:r>
      <w:r>
        <w:t xml:space="preserve"> — Zweites Gespräch Kemnitz/Körber: Anspielung auf „Einsichtnahme in Beschaffungsdokumente außerhalb Genehmigungskette", implizite Drohung. </w:t>
      </w:r>
      <w:r>
        <w:rPr>
          <w:i/>
        </w:rPr>
        <w:t>(Aktenstück 07)</w:t>
      </w:r>
    </w:p>
    <w:p>
      <w:pPr>
        <w:jc w:val="left"/>
      </w:pPr>
      <w:r>
        <w:rPr>
          <w:b/>
        </w:rPr>
        <w:t>25.06.2024</w:t>
      </w:r>
      <w:r>
        <w:t xml:space="preserve"> — Beginn erste AU-Phase: depressive Episode F32.1, behandelnde Ärztin Dr. Jäkel. Dauer bis 07.08.2024 (43 Kalendertage).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22.07.2024</w:t>
      </w:r>
      <w:r>
        <w:t xml:space="preserve"> — Drittes Gespräch: Kemnitz ruft Körber auf Privattelefon während der AU an. Sinngemäß: „Manche Weichen stellt man besser bevor ein Zug fährt." </w:t>
      </w:r>
      <w:r>
        <w:rPr>
          <w:i/>
        </w:rPr>
        <w:t>(Aktenstück 07)</w:t>
      </w:r>
    </w:p>
    <w:p>
      <w:pPr>
        <w:jc w:val="left"/>
      </w:pPr>
      <w:r>
        <w:rPr>
          <w:b/>
        </w:rPr>
        <w:t>29.07.2024</w:t>
      </w:r>
      <w:r>
        <w:t xml:space="preserve"> — Körber bittet per E-Mail HR-Leiter Branitz um Einleitung des BEM-Verfahrens nach § 167 Abs. 2 SGB IX. </w:t>
      </w:r>
      <w:r>
        <w:rPr>
          <w:i/>
        </w:rPr>
        <w:t>(Aktenstücke 12, 18 (eml))</w:t>
      </w:r>
    </w:p>
    <w:p>
      <w:pPr>
        <w:jc w:val="left"/>
      </w:pPr>
      <w:r>
        <w:rPr>
          <w:b/>
        </w:rPr>
        <w:t>05.08.2024</w:t>
      </w:r>
      <w:r>
        <w:t xml:space="preserve"> — Antwort Branitz: „Wir werden die Situation beobachten." Kein BEM-Angebot. </w:t>
      </w:r>
      <w:r>
        <w:rPr>
          <w:i/>
        </w:rPr>
        <w:t>(Aktenstück 12)</w:t>
      </w:r>
    </w:p>
    <w:p>
      <w:pPr>
        <w:jc w:val="left"/>
      </w:pPr>
      <w:r>
        <w:rPr>
          <w:b/>
        </w:rPr>
        <w:t>08.08.2024</w:t>
      </w:r>
      <w:r>
        <w:t xml:space="preserve"> — Ende erste AU, stufenweise Rückkehr.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14.08.2024</w:t>
      </w:r>
      <w:r>
        <w:t xml:space="preserve"> — Ende Verlängerung II Senior Advisor (schriftlich). Ab September: mündliche Verlängerung III (nach Körbers Angaben). </w:t>
      </w:r>
      <w:r>
        <w:rPr>
          <w:i/>
        </w:rPr>
        <w:t>(Aktenstück 16)</w:t>
      </w:r>
    </w:p>
    <w:p>
      <w:pPr>
        <w:jc w:val="left"/>
      </w:pPr>
      <w:r>
        <w:rPr>
          <w:b/>
        </w:rPr>
        <w:t>02.09.2024</w:t>
      </w:r>
      <w:r>
        <w:t xml:space="preserve"> — Beginn zweite AU-Phase: F43.1 (akute Belastungsreaktion), 17 Tage.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20.09.2024</w:t>
      </w:r>
      <w:r>
        <w:t xml:space="preserve"> — Rückkehr nach zweiter AU.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14.10.2024</w:t>
      </w:r>
      <w:r>
        <w:t xml:space="preserve"> — Dritte AU-Phase: grippaler Infekt J06.9, 11 Tage.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04.11.2024</w:t>
      </w:r>
      <w:r>
        <w:t xml:space="preserve"> — Vierte AU-Phase: F32.2 (schwere depressive Episode), 25 Tage. Stationärer Aufenthalt 07.–14.11.2024 (Paracelsus-Klinik Brandenburg).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29.11.2024</w:t>
      </w:r>
      <w:r>
        <w:t xml:space="preserve"> — Ende vierte AU. </w:t>
      </w:r>
      <w:r>
        <w:rPr>
          <w:i/>
        </w:rPr>
        <w:t>(Aktenstück 05)</w:t>
      </w:r>
    </w:p>
    <w:p/>
    <w:p>
      <w:pPr>
        <w:pStyle w:val="Heading2"/>
      </w:pPr>
      <w:r>
        <w:rPr>
          <w:rFonts w:ascii="Times New Roman" w:hAnsi="Times New Roman"/>
        </w:rPr>
        <w:t>2025</w:t>
      </w:r>
    </w:p>
    <w:p>
      <w:pPr>
        <w:jc w:val="left"/>
      </w:pPr>
      <w:r>
        <w:rPr>
          <w:b/>
        </w:rPr>
        <w:t>03.02.2025</w:t>
      </w:r>
      <w:r>
        <w:t xml:space="preserve"> — Beginn fünfte und längste AU-Phase: F33.1 (rezidivierende depressive Störung), 57 Tage.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03.04.2025</w:t>
      </w:r>
      <w:r>
        <w:t xml:space="preserve"> — Ende fünfte AU, Rückkehr zunächst in Teilzeit 50 %, dann ab 17.04.2025 Vollzeit. </w:t>
      </w:r>
      <w:r>
        <w:rPr>
          <w:i/>
        </w:rPr>
        <w:t>(Aktenstück 05)</w:t>
      </w:r>
    </w:p>
    <w:p>
      <w:pPr>
        <w:jc w:val="left"/>
      </w:pPr>
      <w:r>
        <w:rPr>
          <w:b/>
        </w:rPr>
        <w:t>28.04.2025</w:t>
      </w:r>
      <w:r>
        <w:t xml:space="preserve"> — Belegschaftsversammlung Werk Eberswalde: Steinhoff-Pertz und Branitz verkünden Schließung zum 31.12.2025. Körber erhält im Anschluss den Aufhebungsvertragsentwurf. Annahmefrist: 15.05.2025. </w:t>
      </w:r>
      <w:r>
        <w:rPr>
          <w:i/>
        </w:rPr>
        <w:t>(Aktenstücke 08, 15)</w:t>
      </w:r>
    </w:p>
    <w:p>
      <w:pPr>
        <w:jc w:val="left"/>
      </w:pPr>
      <w:r>
        <w:rPr>
          <w:b/>
        </w:rPr>
        <w:t>28.04.2025</w:t>
      </w:r>
      <w:r>
        <w:t xml:space="preserve"> — Konsultationsverfahren mit dem Betriebsrat nach § 17 Abs. 2 KSchG nominell eingeleitet (Unterrichtungsschreiben, das laut BR-Vorsitzender Trzebinski „sehr knapp" war). </w:t>
      </w:r>
      <w:r>
        <w:rPr>
          <w:i/>
        </w:rPr>
        <w:t>(Aktenstück 15)</w:t>
      </w:r>
    </w:p>
    <w:p>
      <w:pPr>
        <w:jc w:val="left"/>
      </w:pPr>
      <w:r>
        <w:rPr>
          <w:b/>
        </w:rPr>
        <w:t>28.04.2025</w:t>
      </w:r>
      <w:r>
        <w:t xml:space="preserve"> — E-Mail Branitz Nr. 1 an Körber: Übersendung Aufhebungsvertragsentwurf, Frist 15.05.2025. </w:t>
      </w:r>
      <w:r>
        <w:rPr>
          <w:i/>
        </w:rPr>
        <w:t>(Aktenstück 18)</w:t>
      </w:r>
    </w:p>
    <w:p>
      <w:pPr>
        <w:jc w:val="left"/>
      </w:pPr>
      <w:r>
        <w:rPr>
          <w:b/>
        </w:rPr>
        <w:t>05.05.2025</w:t>
      </w:r>
      <w:r>
        <w:t xml:space="preserve"> — E-Mail Branitz Nr. 2: Erinnerung mit impliziter Drohung „personalrechtlich notwendige Schritte". </w:t>
      </w:r>
      <w:r>
        <w:rPr>
          <w:i/>
        </w:rPr>
        <w:t>(Aktenstück 18)</w:t>
      </w:r>
    </w:p>
    <w:p>
      <w:pPr>
        <w:jc w:val="left"/>
      </w:pPr>
      <w:r>
        <w:rPr>
          <w:b/>
        </w:rPr>
        <w:t>08.05.2025</w:t>
      </w:r>
      <w:r>
        <w:t xml:space="preserve"> — E-Mail Branitz Nr. 3: Ankündigung, dass bei Ablehnung nur gesetzliche Mindestleistungen gewährt werden. </w:t>
      </w:r>
      <w:r>
        <w:rPr>
          <w:i/>
        </w:rPr>
        <w:t>(Aktenstücke 18, eml-Datei)</w:t>
      </w:r>
    </w:p>
    <w:p>
      <w:pPr>
        <w:jc w:val="left"/>
      </w:pPr>
      <w:r>
        <w:rPr>
          <w:b/>
        </w:rPr>
        <w:t>12.05.2025</w:t>
      </w:r>
      <w:r>
        <w:t xml:space="preserve"> — E-Mail Branitz Nr. 4: „Persönliche Empfehlung" — Gerichtsverfahren seien anstrengend und selten erfolgreich. </w:t>
      </w:r>
      <w:r>
        <w:rPr>
          <w:i/>
        </w:rPr>
        <w:t>(Aktenstück 18)</w:t>
      </w:r>
    </w:p>
    <w:p>
      <w:pPr>
        <w:jc w:val="left"/>
      </w:pPr>
      <w:r>
        <w:rPr>
          <w:b/>
        </w:rPr>
        <w:t>14.05.2025</w:t>
      </w:r>
      <w:r>
        <w:t xml:space="preserve"> — E-Mail Branitz Nr. 5: Letzte Warnung, Frist morgen. Explizite Ankündigung Kündigung wegen Krankheitshistorie bei Nichtannahme. </w:t>
      </w:r>
      <w:r>
        <w:rPr>
          <w:i/>
        </w:rPr>
        <w:t>(Aktenstück 18)</w:t>
      </w:r>
    </w:p>
    <w:p>
      <w:pPr>
        <w:jc w:val="left"/>
      </w:pPr>
      <w:r>
        <w:rPr>
          <w:b/>
        </w:rPr>
        <w:t>15.05.2025</w:t>
      </w:r>
      <w:r>
        <w:t xml:space="preserve"> — Körber lehnt Aufhebungsvertrag schriftlich ab (Brief per Einschreiben an Steinhoff SE, Kopie bei Akte). </w:t>
      </w:r>
      <w:r>
        <w:rPr>
          <w:i/>
        </w:rPr>
        <w:t>(Erstgespräch, Aktenstück 01)</w:t>
      </w:r>
    </w:p>
    <w:p>
      <w:pPr>
        <w:jc w:val="left"/>
      </w:pPr>
      <w:r>
        <w:rPr>
          <w:b/>
        </w:rPr>
        <w:t>19.05.2025</w:t>
      </w:r>
      <w:r>
        <w:t xml:space="preserve"> — Anhörungsschreiben der Geschäftsführung an den Betriebsrat nach § 102 BetrVG. Anhörungsfrist bis 22.05.2025. </w:t>
      </w:r>
      <w:r>
        <w:rPr>
          <w:i/>
        </w:rPr>
        <w:t>(Aktenstück 10)</w:t>
      </w:r>
    </w:p>
    <w:p>
      <w:pPr>
        <w:jc w:val="left"/>
      </w:pPr>
      <w:r>
        <w:rPr>
          <w:b/>
        </w:rPr>
        <w:t>20.05.2025</w:t>
      </w:r>
      <w:r>
        <w:t xml:space="preserve"> — BR-Sitzung: Abstimmung über Widerspruch. Schwarz (krank) nicht durch Ersatzmitglied vertreten. 9 Ja-Stimmen von 10 Anwesenden = Widerspruch beschlossen. </w:t>
      </w:r>
      <w:r>
        <w:rPr>
          <w:i/>
        </w:rPr>
        <w:t>(Aktenstücke 10, 11)</w:t>
      </w:r>
    </w:p>
    <w:p>
      <w:pPr>
        <w:jc w:val="left"/>
      </w:pPr>
      <w:r>
        <w:rPr>
          <w:b/>
        </w:rPr>
        <w:t>22.05.2025</w:t>
      </w:r>
      <w:r>
        <w:t xml:space="preserve"> — Kündigung übergeben per Boten (Klaus-Dieter Preuß) an Körbers Haustür, 14:30 Uhr. Ordentliche personenbedingte Kündigung, hilfsweise betriebsbedingt, Frist 31.12.2025. </w:t>
      </w:r>
      <w:r>
        <w:rPr>
          <w:i/>
        </w:rPr>
        <w:t>(Aktenstück 09)</w:t>
      </w:r>
    </w:p>
    <w:p>
      <w:pPr>
        <w:jc w:val="left"/>
      </w:pPr>
      <w:r>
        <w:rPr>
          <w:b/>
        </w:rPr>
        <w:t>22.05.2025</w:t>
      </w:r>
      <w:r>
        <w:t xml:space="preserve"> — Betriebsrat übermittelt Widerspruchsschreiben an die Geschäftsführung. </w:t>
      </w:r>
      <w:r>
        <w:rPr>
          <w:i/>
        </w:rPr>
        <w:t>(Aktenstück 10)</w:t>
      </w:r>
    </w:p>
    <w:p>
      <w:pPr>
        <w:jc w:val="left"/>
      </w:pPr>
      <w:r>
        <w:rPr>
          <w:b/>
        </w:rPr>
        <w:t>23.05.2025</w:t>
      </w:r>
      <w:r>
        <w:t xml:space="preserve"> — E-Mail Branitz Nr. 6: Freistellung ab sofort unter Verweis auf § 5 AT-Vertrag. Deaktivierung IT-Zugang und Werksgelände-Zutritt ab 17:00 Uhr 22.05.2025 (rückwirkend). </w:t>
      </w:r>
      <w:r>
        <w:rPr>
          <w:i/>
        </w:rPr>
        <w:t>(Aktenstück 18)</w:t>
      </w:r>
    </w:p>
    <w:p>
      <w:pPr>
        <w:jc w:val="left"/>
      </w:pPr>
      <w:r>
        <w:rPr>
          <w:b/>
        </w:rPr>
        <w:t>26.05.2025</w:t>
      </w:r>
      <w:r>
        <w:t xml:space="preserve"> — Schreiben Kemnitz an BR: Rüge des BR-Beschlusses wegen fehlendem Ersatzmitglied. </w:t>
      </w:r>
      <w:r>
        <w:rPr>
          <w:i/>
        </w:rPr>
        <w:t>(Aktenstück 11)</w:t>
      </w:r>
    </w:p>
    <w:p>
      <w:pPr>
        <w:jc w:val="left"/>
      </w:pPr>
      <w:r>
        <w:rPr>
          <w:b/>
        </w:rPr>
        <w:t>30.05.2025</w:t>
      </w:r>
      <w:r>
        <w:t xml:space="preserve"> — Körber mandatiert Klotzkette Rechtsanwaltsgesellschaft mbH. Erstgespräch mit RA Dr. Jonas Reuß. Vollmacht unterzeichnet. </w:t>
      </w:r>
      <w:r>
        <w:rPr>
          <w:i/>
        </w:rPr>
        <w:t>(Aktenstück 01)</w:t>
      </w:r>
    </w:p>
    <w:p>
      <w:pPr>
        <w:jc w:val="left"/>
      </w:pPr>
      <w:r>
        <w:rPr>
          <w:b/>
        </w:rPr>
        <w:t>30.05.2025</w:t>
      </w:r>
      <w:r>
        <w:t xml:space="preserve"> — Kanzlei sendet RSV-Deckungsanfrage an HDI-Gerling. </w:t>
      </w:r>
      <w:r>
        <w:rPr>
          <w:i/>
        </w:rPr>
        <w:t>(Erstgespräch)</w:t>
      </w:r>
    </w:p>
    <w:p>
      <w:pPr>
        <w:jc w:val="left"/>
      </w:pPr>
      <w:r>
        <w:rPr>
          <w:b/>
        </w:rPr>
        <w:t>12.06.2025</w:t>
      </w:r>
      <w:r>
        <w:t xml:space="preserve"> — </w:t>
      </w:r>
      <w:r>
        <w:rPr>
          <w:b/>
        </w:rPr>
        <w:t>Klagefrist § 4 KSchG</w:t>
      </w:r>
      <w:r>
        <w:t xml:space="preserve"> — Letztmöglicher Tag für Einreichung der Kündigungsschutzklage. </w:t>
      </w:r>
      <w:r>
        <w:rPr>
          <w:i/>
        </w:rPr>
        <w:t>(Aktenstück 01, Fristberechnung)</w:t>
      </w:r>
    </w:p>
    <w:p/>
    <w:p>
      <w:pPr>
        <w:pStyle w:val="Heading2"/>
      </w:pPr>
      <w:r>
        <w:rPr>
          <w:rFonts w:ascii="Times New Roman" w:hAnsi="Times New Roman"/>
        </w:rPr>
        <w:t>Nächste Schritte (geplant)</w:t>
      </w:r>
    </w:p>
    <w:p>
      <w:pPr>
        <w:jc w:val="left"/>
      </w:pPr>
      <w:r>
        <w:rPr>
          <w:b/>
        </w:rPr>
        <w:t>Bis 09.06.2025</w:t>
      </w:r>
      <w:r>
        <w:t xml:space="preserve"> — Einreichung Kündigungsschutzklage beim ArbG Frankfurt (Oder). </w:t>
      </w:r>
      <w:r>
        <w:rPr>
          <w:i/>
        </w:rPr>
        <w:t>(Aktenstück 20)</w:t>
      </w:r>
    </w:p>
    <w:p>
      <w:pPr>
        <w:jc w:val="left"/>
      </w:pPr>
      <w:r>
        <w:rPr>
          <w:b/>
        </w:rPr>
        <w:t>Vermutlich Juli/August 2025</w:t>
      </w:r>
      <w:r>
        <w:t xml:space="preserve"> — Güteverhandlung ArbG Frankfurt (Oder). </w:t>
      </w:r>
      <w:r>
        <w:rPr>
          <w:i/>
        </w:rPr>
        <w:t>(Aktenstück 21)</w:t>
      </w:r>
    </w:p>
    <w:p>
      <w:pPr>
        <w:jc w:val="left"/>
      </w:pPr>
      <w:r>
        <w:rPr>
          <w:b/>
        </w:rPr>
        <w:t>Offen</w:t>
      </w:r>
      <w:r>
        <w:t xml:space="preserve"> — Equal-Pay-Klage (Zahlungsklage, Streitwert ca. 176.000 EUR, keine Fristproblematik).</w:t>
      </w:r>
    </w:p>
    <w:p>
      <w:pPr>
        <w:jc w:val="left"/>
      </w:pPr>
      <w:r>
        <w:rPr>
          <w:b/>
        </w:rPr>
        <w:t>Offen</w:t>
      </w:r>
      <w:r>
        <w:t xml:space="preserve"> — TzBfG-Feststellungsklage Senior Advisor (hilfsweise in KSchG-Klage integriert).</w:t>
      </w:r>
    </w:p>
    <w:p>
      <w:pPr>
        <w:jc w:val="left"/>
      </w:pPr>
      <w:r>
        <w:rPr>
          <w:b/>
        </w:rPr>
        <w:t>Offen</w:t>
      </w:r>
      <w:r>
        <w:t xml:space="preserve"> — Massenentlassungsanzeige prüfen (Eingang bei Agentur für Arbeit? Datum?).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