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Blühendes Leben: Arbeitszeugnis, Codierung und Trennung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GewO § 109; BGB Nebenpflichten; arbeitsgerichtliches Verfahren; Zeugniswahrheit und Zeugniswohlwollen.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